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ore1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openxmlformats.org/officedocument/2006/relationships/metadata/core-properties" Target="docProps/core1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>
      <w:pPr>
        <w:pStyle w:val="a4"/>
        <w:bidi w:val="0"/>
        <w:ind w:right="1224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  <w:rtl w:val="0"/>
          <w:lang w:val="fi"/>
        </w:rPr>
        <w:t>PELISÄÄNNÖT</w:t>
      </w:r>
    </w:p>
    <w:p>
      <w:pPr>
        <w:pStyle w:val="a4"/>
        <w:ind w:right="1224"/>
        <w:rPr>
          <w:b/>
          <w:bCs/>
        </w:rPr>
      </w:pPr>
    </w:p>
    <w:p>
      <w:pPr>
        <w:pStyle w:val="a4"/>
        <w:bidi w:val="0"/>
        <w:ind w:right="12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  <w:lang w:val="fi"/>
        </w:rPr>
        <w:t>KIEPSAHDUSVOITOT</w:t>
      </w:r>
    </w:p>
    <w:p>
      <w:pPr>
        <w:pStyle w:val="a5"/>
        <w:numPr>
          <w:ilvl w:val="0"/>
          <w:numId w:val="2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>Peruspelin aikana sarjarullat ovat aktiivisia, joten kaikki voittosymbolit poistetaan rullilta jokaisen maksetun voiton jälkeen tehden tilaa uusille symboleille. Tämä voi johtaa uusiin yhdistelmiin ja voittoihin.</w:t>
      </w:r>
    </w:p>
    <w:p>
      <w:pPr>
        <w:pStyle w:val="a5"/>
        <w:numPr>
          <w:ilvl w:val="0"/>
          <w:numId w:val="2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>Yksittäisen kierroksen peräkkäisten voittojen määrä on rajoitettu 50.</w:t>
      </w:r>
    </w:p>
    <w:p>
      <w:pPr>
        <w:pStyle w:val="a4"/>
        <w:tabs>
          <w:tab w:val="clear" w:pos="720"/>
        </w:tabs>
        <w:ind w:left="1224" w:right="1224"/>
        <w:rPr>
          <w:b/>
          <w:bCs/>
        </w:rPr>
      </w:pPr>
    </w:p>
    <w:p>
      <w:pPr>
        <w:pStyle w:val="a4"/>
        <w:bidi w:val="0"/>
        <w:ind w:right="12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  <w:lang w:val="fi"/>
        </w:rPr>
        <w:t>KASVAVA YLEINEN KERROIN</w:t>
      </w:r>
    </w:p>
    <w:p>
      <w:pPr>
        <w:pStyle w:val="a5"/>
        <w:numPr>
          <w:ilvl w:val="0"/>
          <w:numId w:val="3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 xml:space="preserve">Pelin aikana jokainen peräkkäinen voitto kasvattaa yleistä kerrointa x1 verran. Jokaisen sarjan lopussa kaikki linjavoitot kerrotaan senhetkisellä yleisen kertoimen arvolla. Kerroinarvo nollautuu jokaisella pelikierroksella. </w:t>
      </w:r>
    </w:p>
    <w:p>
      <w:pPr>
        <w:pStyle w:val="a5"/>
        <w:numPr>
          <w:ilvl w:val="0"/>
          <w:numId w:val="3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 xml:space="preserve">Yleinen kerroin voi olla enintään x15 yksittäisellä kierroksella. </w:t>
      </w:r>
    </w:p>
    <w:p>
      <w:pPr>
        <w:pStyle w:val="a4"/>
        <w:tabs>
          <w:tab w:val="clear" w:pos="720"/>
        </w:tabs>
        <w:ind w:left="1224" w:right="1224"/>
      </w:pPr>
    </w:p>
    <w:p>
      <w:pPr>
        <w:pStyle w:val="a4"/>
        <w:bidi w:val="0"/>
        <w:ind w:right="1224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  <w:rtl w:val="0"/>
          <w:lang w:val="fi"/>
        </w:rPr>
        <w:t>WILD SUDET OMINAISUUS</w:t>
      </w:r>
    </w:p>
    <w:p>
      <w:pPr>
        <w:pStyle w:val="a5"/>
        <w:numPr>
          <w:ilvl w:val="0"/>
          <w:numId w:val="4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 xml:space="preserve">Pelin aikana </w:t>
      </w:r>
      <w:r>
        <w:rPr>
          <w:rStyle w:val="a"/>
          <w:rFonts w:cs="Calibri"/>
          <w:b/>
          <w:bCs/>
          <w:color w:val="000000"/>
          <w:sz w:val="18"/>
          <w:szCs w:val="18"/>
          <w:rtl w:val="0"/>
          <w:lang w:val="fi"/>
        </w:rPr>
        <w:t>[Wild Moon image]</w:t>
      </w:r>
      <w:r>
        <w:rPr>
          <w:rStyle w:val="a"/>
          <w:rFonts w:cs="Calibri"/>
          <w:color w:val="000000"/>
          <w:rtl w:val="0"/>
          <w:lang w:val="fi"/>
        </w:rPr>
        <w:t xml:space="preserve">-symboli voi pysähtyä rullille koska tahansa. Pysähtymisen jälkeen se voi käynnistää yhden 4 Sudesta satunnaisesti näytön yläosassa. </w:t>
      </w:r>
    </w:p>
    <w:p>
      <w:pPr>
        <w:pStyle w:val="a5"/>
        <w:numPr>
          <w:ilvl w:val="0"/>
          <w:numId w:val="4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 xml:space="preserve">Käynnistetyt Sudet toimivat kuten Wildit pysähdyttyään näytölle sen kierroksen loppuun asti. Useampi kuin yksi susi voi käynnistyä yksittäisellä pelikierroksella. </w:t>
      </w:r>
    </w:p>
    <w:p>
      <w:pPr>
        <w:pStyle w:val="a5"/>
        <w:numPr>
          <w:ilvl w:val="0"/>
          <w:numId w:val="4"/>
        </w:numPr>
        <w:bidi w:val="0"/>
        <w:ind w:right="1224"/>
      </w:pPr>
      <w:r>
        <w:rPr>
          <w:rStyle w:val="a"/>
          <w:rFonts w:cs="Calibri"/>
          <w:color w:val="000000"/>
          <w:rtl w:val="0"/>
          <w:lang w:val="fi"/>
        </w:rPr>
        <w:t xml:space="preserve">Jos kaikki Sudet käynnistetään pelikierroksen aikana, mikä tahansa sen jälkeen pysähtyvä </w:t>
      </w:r>
      <w:r>
        <w:rPr>
          <w:rStyle w:val="a"/>
          <w:rFonts w:cs="Calibri"/>
          <w:b/>
          <w:bCs/>
          <w:color w:val="000000"/>
          <w:sz w:val="18"/>
          <w:szCs w:val="18"/>
          <w:rtl w:val="0"/>
          <w:lang w:val="fi"/>
        </w:rPr>
        <w:t>[Wild Moon]</w:t>
      </w:r>
      <w:r>
        <w:rPr>
          <w:rStyle w:val="a"/>
          <w:rFonts w:cs="Calibri"/>
          <w:color w:val="000000"/>
          <w:rtl w:val="0"/>
          <w:lang w:val="fi"/>
        </w:rPr>
        <w:t>-symboli toimii kuten tavalliset Wildit, koska käynnistettäviä Susia ei enää ole.</w:t>
      </w:r>
    </w:p>
    <w:p>
      <w:pPr>
        <w:pStyle w:val="a4"/>
        <w:tabs>
          <w:tab w:val="clear" w:pos="720"/>
        </w:tabs>
        <w:ind w:left="2160" w:firstLine="720"/>
      </w:pPr>
    </w:p>
    <w:p>
      <w:pPr>
        <w:pStyle w:val="a4"/>
        <w:tabs>
          <w:tab w:val="clear" w:pos="720"/>
        </w:tabs>
        <w:bidi w:val="0"/>
        <w:ind w:left="720"/>
      </w:pPr>
      <w:r>
        <w:rPr>
          <w:rtl w:val="0"/>
          <w:lang w:val="fi"/>
        </w:rPr>
        <w:t>Pelin vika mitätöi kaikki voitot.</w:t>
      </w:r>
    </w:p>
    <w:p>
      <w:pPr>
        <w:pStyle w:val="a4"/>
        <w:tabs>
          <w:tab w:val="clear" w:pos="720"/>
        </w:tabs>
        <w:ind w:left="1224" w:right="1224"/>
      </w:pPr>
    </w:p>
    <w:p>
      <w:pPr>
        <w:pStyle w:val="a4"/>
        <w:tabs>
          <w:tab w:val="clear" w:pos="720"/>
        </w:tabs>
        <w:ind w:left="720" w:right="1224"/>
      </w:pPr>
    </w:p>
    <w:p>
      <w:pPr>
        <w:pStyle w:val="a4"/>
        <w:tabs>
          <w:tab w:val="clear" w:pos="720"/>
        </w:tabs>
        <w:ind w:left="1224" w:right="1224"/>
      </w:pPr>
      <w:r>
        <w:rPr>
          <w:rStyle w:val="a"/>
          <w:rFonts w:cs="Calibri"/>
        </w:rPr>
        <w:t xml:space="preserve"> </w:t>
      </w:r>
    </w:p>
    <w:sectPr>
      <w:headerReference w:type="default" r:id="rId4"/>
      <w:footerReference w:type="default" r:id="rId5"/>
      <w:type w:val="nextPage"/>
      <w:pgSz w:w="11906" w:h="16838"/>
      <w:pgMar w:top="1440" w:right="1440" w:bottom="1440" w:left="1440" w:header="720" w:footer="720" w:gutter="0"/>
      <w:pgNumType w:fmt="decimal"/>
      <w:cols w:space="708"/>
      <w:formProt w:val="0"/>
      <w:textDirection w:val="lrTb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CC"/>
    <w:family w:val="swiss"/>
    <w:pitch w:val="variable"/>
    <w:sig w:usb0="00000000" w:usb1="00000000" w:usb2="00000000" w:usb3="00000000" w:csb0="00000004" w:csb1="00000000"/>
  </w:font>
  <w:font w:name="Liberation Serif">
    <w:altName w:val="Times New Roman"/>
    <w:charset w:val="CC"/>
    <w:family w:val="roman"/>
    <w:pitch w:val="variable"/>
  </w:font>
  <w:font w:name="Calibri">
    <w:charset w:val="CC"/>
    <w:family w:val="swiss"/>
    <w:pitch w:val="variable"/>
  </w:font>
  <w:font w:name="Calibri Light">
    <w:charset w:val="CC"/>
    <w:family w:val="swiss"/>
    <w:pitch w:val="variable"/>
  </w:font>
  <w:font w:name="Courier New">
    <w:charset w:val="CC"/>
    <w:family w:val="modern"/>
    <w:pitch w:val="fixed"/>
  </w:font>
  <w:font w:name="Wingdings">
    <w:charset w:val="02"/>
    <w:family w:val="auto"/>
    <w:pitch w:val="variable"/>
  </w:font>
  <w:font w:name="Liberation Sans">
    <w:altName w:val="Arial"/>
    <w:charset w:val="CC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blPrEx>
        <w:tblW w:w="90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/>
        <w:jc w:val="left"/>
      </w:trPr>
      <w:tc>
        <w:tcPr>
          <w:tcW w:w="3005" w:type="dxa"/>
        </w:tcPr>
        <w:p>
          <w:pPr>
            <w:pStyle w:val="a6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3005" w:type="dxa"/>
        </w:tcPr>
        <w:p>
          <w:pPr>
            <w:pStyle w:val="a6"/>
            <w:jc w:val="center"/>
          </w:pPr>
        </w:p>
      </w:tc>
      <w:tc>
        <w:tcPr>
          <w:tcW w:w="3005" w:type="dxa"/>
        </w:tcPr>
        <w:p>
          <w:pPr>
            <w:pStyle w:val="a6"/>
            <w:ind w:right="-115"/>
            <w:jc w:val="right"/>
          </w:pPr>
        </w:p>
      </w:tc>
    </w:tr>
  </w:tbl>
  <w:p>
    <w:pPr>
      <w:pStyle w:val="a7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9015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</w:tblPr>
    <w:tblGrid>
      <w:gridCol w:w="3005"/>
      <w:gridCol w:w="3005"/>
      <w:gridCol w:w="3005"/>
    </w:tblGrid>
    <w:tr>
      <w:tblPrEx>
        <w:tblW w:w="901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Ex>
      <w:trPr>
        <w:trHeight w:val="300"/>
        <w:jc w:val="left"/>
      </w:trPr>
      <w:tc>
        <w:tcPr>
          <w:tcW w:w="3005" w:type="dxa"/>
        </w:tcPr>
        <w:p>
          <w:pPr>
            <w:pStyle w:val="a6"/>
            <w:tabs>
              <w:tab w:val="center" w:pos="4680"/>
              <w:tab w:val="right" w:pos="9360"/>
            </w:tabs>
            <w:ind w:left="-115"/>
          </w:pPr>
        </w:p>
      </w:tc>
      <w:tc>
        <w:tcPr>
          <w:tcW w:w="3005" w:type="dxa"/>
        </w:tcPr>
        <w:p>
          <w:pPr>
            <w:pStyle w:val="a6"/>
            <w:jc w:val="center"/>
          </w:pPr>
        </w:p>
      </w:tc>
      <w:tc>
        <w:tcPr>
          <w:tcW w:w="3005" w:type="dxa"/>
        </w:tcPr>
        <w:p>
          <w:pPr>
            <w:pStyle w:val="a6"/>
            <w:ind w:right="-115"/>
            <w:jc w:val="right"/>
          </w:pPr>
        </w:p>
      </w:tc>
    </w:tr>
  </w:tbl>
  <w:p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F2AFD1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>
    <w:nsid w:val="2A44C19B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25DD9F8"/>
    <w:multiLevelType w:val="hybridMultilevel"/>
    <w:tmpl w:val="00000000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BB26BFA"/>
    <w:multiLevelType w:val="hybridMultilevel"/>
    <w:tmpl w:val="00000000"/>
    <w:lvl w:ilvl="0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Jc w:val="left"/>
      <w:pPr>
        <w:tabs>
          <w:tab w:val="num" w:pos="0"/>
        </w:tabs>
        <w:ind w:left="0" w:firstLine="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en-GB" w:eastAsia="en-US" w:bidi="ar-SA"/>
      </w:rPr>
    </w:rPrDefault>
    <w:pPrDefault>
      <w:pPr>
        <w:widowControl/>
        <w:suppressAutoHyphens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keepNext w:val="0"/>
      <w:keepLines w:val="0"/>
      <w:pageBreakBefore w:val="0"/>
      <w:widowControl/>
      <w:shd w:val="clear" w:color="auto" w:fill="auto"/>
      <w:kinsoku/>
      <w:overflowPunct/>
      <w:autoSpaceDE/>
      <w:bidi w:val="0"/>
      <w:snapToGrid/>
      <w:spacing w:before="0" w:after="160" w:line="240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0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character" w:default="1" w:styleId="DefaultParagraphFont">
    <w:name w:val="Default Paragraph Font"/>
    <w:qFormat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eading2">
    <w:name w:val="Heading 2"/>
    <w:basedOn w:val="a4"/>
    <w:next w:val="a4"/>
    <w:qFormat/>
    <w:pPr>
      <w:keepNext/>
      <w:keepLines/>
      <w:numPr>
        <w:ilvl w:val="1"/>
        <w:numId w:val="1"/>
      </w:numPr>
      <w:suppressAutoHyphens/>
      <w:spacing w:before="40" w:after="0"/>
      <w:outlineLvl w:val="1"/>
    </w:pPr>
    <w:rPr>
      <w:rFonts w:ascii="Calibri Light" w:eastAsia="Yu Gothic Light" w:hAnsi="Calibri Light"/>
      <w:color w:val="2F5496"/>
      <w:sz w:val="26"/>
      <w:szCs w:val="26"/>
    </w:rPr>
  </w:style>
  <w:style w:type="character" w:customStyle="1" w:styleId="a">
    <w:name w:val="Основной шрифт абзаца"/>
    <w:qFormat/>
  </w:style>
  <w:style w:type="character" w:customStyle="1" w:styleId="a0">
    <w:name w:val="Гиперссылка"/>
    <w:basedOn w:val="a"/>
    <w:qFormat/>
    <w:rPr>
      <w:color w:val="0563C1"/>
      <w:u w:val="single"/>
    </w:rPr>
  </w:style>
  <w:style w:type="character" w:customStyle="1" w:styleId="a1">
    <w:name w:val="Неразрешенное упоминание"/>
    <w:basedOn w:val="a"/>
    <w:qFormat/>
    <w:rPr>
      <w:color w:val="605E5C"/>
      <w:shd w:val="clear" w:color="auto" w:fill="E1DFDD"/>
    </w:rPr>
  </w:style>
  <w:style w:type="character" w:customStyle="1" w:styleId="a2">
    <w:name w:val="Просмотренная гиперссылка"/>
    <w:basedOn w:val="a"/>
    <w:qFormat/>
    <w:rPr>
      <w:color w:val="954F72"/>
      <w:u w:val="single"/>
    </w:rPr>
  </w:style>
  <w:style w:type="character" w:customStyle="1" w:styleId="Heading2Char">
    <w:name w:val="Heading 2 Char"/>
    <w:basedOn w:val="a"/>
    <w:qFormat/>
    <w:rPr>
      <w:rFonts w:ascii="Calibri Light" w:eastAsia="Yu Gothic Light" w:hAnsi="Calibri Light" w:cs="Times New Roman"/>
      <w:color w:val="2F5496"/>
      <w:sz w:val="26"/>
      <w:szCs w:val="26"/>
    </w:rPr>
  </w:style>
  <w:style w:type="character" w:customStyle="1" w:styleId="CommentTextChar">
    <w:name w:val="Comment Text Char"/>
    <w:basedOn w:val="a"/>
    <w:qFormat/>
    <w:rPr>
      <w:sz w:val="20"/>
      <w:szCs w:val="20"/>
    </w:rPr>
  </w:style>
  <w:style w:type="character" w:customStyle="1" w:styleId="CommentReference">
    <w:name w:val="Comment Reference"/>
    <w:basedOn w:val="a"/>
    <w:qFormat/>
    <w:rPr>
      <w:sz w:val="16"/>
      <w:szCs w:val="16"/>
    </w:rPr>
  </w:style>
  <w:style w:type="character" w:customStyle="1" w:styleId="HeaderChar">
    <w:name w:val="Header Char"/>
    <w:basedOn w:val="a"/>
    <w:qFormat/>
  </w:style>
  <w:style w:type="character" w:customStyle="1" w:styleId="FooterChar">
    <w:name w:val="Footer Char"/>
    <w:basedOn w:val="a"/>
    <w:qFormat/>
  </w:style>
  <w:style w:type="character" w:customStyle="1" w:styleId="HeaderChar1">
    <w:name w:val="Header Char1"/>
    <w:basedOn w:val="DefaultParagraphFont"/>
    <w:qFormat/>
  </w:style>
  <w:style w:type="character" w:customStyle="1" w:styleId="FooterChar1">
    <w:name w:val="Footer Char1"/>
    <w:basedOn w:val="DefaultParagraphFont"/>
    <w:qFormat/>
  </w:style>
  <w:style w:type="character" w:customStyle="1" w:styleId="WWCharLFO1LVL1">
    <w:name w:val="WW_CharLFO1LVL1"/>
    <w:qFormat/>
    <w:rPr>
      <w:rFonts w:ascii="Symbol" w:hAnsi="Symbol"/>
    </w:rPr>
  </w:style>
  <w:style w:type="character" w:customStyle="1" w:styleId="WWCharLFO1LVL2">
    <w:name w:val="WW_CharLFO1LVL2"/>
    <w:qFormat/>
    <w:rPr>
      <w:rFonts w:ascii="Courier New" w:hAnsi="Courier New"/>
    </w:rPr>
  </w:style>
  <w:style w:type="character" w:customStyle="1" w:styleId="WWCharLFO1LVL3">
    <w:name w:val="WW_CharLFO1LVL3"/>
    <w:qFormat/>
    <w:rPr>
      <w:rFonts w:ascii="Wingdings" w:hAnsi="Wingdings"/>
    </w:rPr>
  </w:style>
  <w:style w:type="character" w:customStyle="1" w:styleId="WWCharLFO1LVL4">
    <w:name w:val="WW_CharLFO1LVL4"/>
    <w:qFormat/>
    <w:rPr>
      <w:rFonts w:ascii="Symbol" w:hAnsi="Symbol"/>
    </w:rPr>
  </w:style>
  <w:style w:type="character" w:customStyle="1" w:styleId="WWCharLFO1LVL5">
    <w:name w:val="WW_CharLFO1LVL5"/>
    <w:qFormat/>
    <w:rPr>
      <w:rFonts w:ascii="Courier New" w:hAnsi="Courier New"/>
    </w:rPr>
  </w:style>
  <w:style w:type="character" w:customStyle="1" w:styleId="WWCharLFO1LVL6">
    <w:name w:val="WW_CharLFO1LVL6"/>
    <w:qFormat/>
    <w:rPr>
      <w:rFonts w:ascii="Wingdings" w:hAnsi="Wingdings"/>
    </w:rPr>
  </w:style>
  <w:style w:type="character" w:customStyle="1" w:styleId="WWCharLFO1LVL7">
    <w:name w:val="WW_CharLFO1LVL7"/>
    <w:qFormat/>
    <w:rPr>
      <w:rFonts w:ascii="Symbol" w:hAnsi="Symbol"/>
    </w:rPr>
  </w:style>
  <w:style w:type="character" w:customStyle="1" w:styleId="WWCharLFO1LVL8">
    <w:name w:val="WW_CharLFO1LVL8"/>
    <w:qFormat/>
    <w:rPr>
      <w:rFonts w:ascii="Courier New" w:hAnsi="Courier New"/>
    </w:rPr>
  </w:style>
  <w:style w:type="character" w:customStyle="1" w:styleId="WWCharLFO1LVL9">
    <w:name w:val="WW_CharLFO1LVL9"/>
    <w:qFormat/>
    <w:rPr>
      <w:rFonts w:ascii="Wingdings" w:hAnsi="Wingdings"/>
    </w:rPr>
  </w:style>
  <w:style w:type="character" w:customStyle="1" w:styleId="WWCharLFO2LVL1">
    <w:name w:val="WW_CharLFO2LVL1"/>
    <w:qFormat/>
    <w:rPr>
      <w:rFonts w:ascii="Symbol" w:hAnsi="Symbol"/>
    </w:rPr>
  </w:style>
  <w:style w:type="character" w:customStyle="1" w:styleId="WWCharLFO2LVL2">
    <w:name w:val="WW_CharLFO2LVL2"/>
    <w:qFormat/>
    <w:rPr>
      <w:rFonts w:ascii="Courier New" w:hAnsi="Courier New"/>
    </w:rPr>
  </w:style>
  <w:style w:type="character" w:customStyle="1" w:styleId="WWCharLFO2LVL3">
    <w:name w:val="WW_CharLFO2LVL3"/>
    <w:qFormat/>
    <w:rPr>
      <w:rFonts w:ascii="Wingdings" w:hAnsi="Wingdings"/>
    </w:rPr>
  </w:style>
  <w:style w:type="character" w:customStyle="1" w:styleId="WWCharLFO2LVL4">
    <w:name w:val="WW_CharLFO2LVL4"/>
    <w:qFormat/>
    <w:rPr>
      <w:rFonts w:ascii="Symbol" w:hAnsi="Symbol"/>
    </w:rPr>
  </w:style>
  <w:style w:type="character" w:customStyle="1" w:styleId="WWCharLFO2LVL5">
    <w:name w:val="WW_CharLFO2LVL5"/>
    <w:qFormat/>
    <w:rPr>
      <w:rFonts w:ascii="Courier New" w:hAnsi="Courier New"/>
    </w:rPr>
  </w:style>
  <w:style w:type="character" w:customStyle="1" w:styleId="WWCharLFO2LVL6">
    <w:name w:val="WW_CharLFO2LVL6"/>
    <w:qFormat/>
    <w:rPr>
      <w:rFonts w:ascii="Wingdings" w:hAnsi="Wingdings"/>
    </w:rPr>
  </w:style>
  <w:style w:type="character" w:customStyle="1" w:styleId="WWCharLFO2LVL7">
    <w:name w:val="WW_CharLFO2LVL7"/>
    <w:qFormat/>
    <w:rPr>
      <w:rFonts w:ascii="Symbol" w:hAnsi="Symbol"/>
    </w:rPr>
  </w:style>
  <w:style w:type="character" w:customStyle="1" w:styleId="WWCharLFO2LVL8">
    <w:name w:val="WW_CharLFO2LVL8"/>
    <w:qFormat/>
    <w:rPr>
      <w:rFonts w:ascii="Courier New" w:hAnsi="Courier New"/>
    </w:rPr>
  </w:style>
  <w:style w:type="character" w:customStyle="1" w:styleId="WWCharLFO2LVL9">
    <w:name w:val="WW_CharLFO2LVL9"/>
    <w:qFormat/>
    <w:rPr>
      <w:rFonts w:ascii="Wingdings" w:hAnsi="Wingdings"/>
    </w:rPr>
  </w:style>
  <w:style w:type="character" w:customStyle="1" w:styleId="WWCharLFO3LVL1">
    <w:name w:val="WW_CharLFO3LVL1"/>
    <w:qFormat/>
    <w:rPr>
      <w:rFonts w:ascii="Symbol" w:hAnsi="Symbol"/>
    </w:rPr>
  </w:style>
  <w:style w:type="character" w:customStyle="1" w:styleId="WWCharLFO3LVL2">
    <w:name w:val="WW_CharLFO3LVL2"/>
    <w:qFormat/>
    <w:rPr>
      <w:rFonts w:ascii="Courier New" w:hAnsi="Courier New"/>
    </w:rPr>
  </w:style>
  <w:style w:type="character" w:customStyle="1" w:styleId="WWCharLFO3LVL3">
    <w:name w:val="WW_CharLFO3LVL3"/>
    <w:qFormat/>
    <w:rPr>
      <w:rFonts w:ascii="Wingdings" w:hAnsi="Wingdings"/>
    </w:rPr>
  </w:style>
  <w:style w:type="character" w:customStyle="1" w:styleId="WWCharLFO3LVL4">
    <w:name w:val="WW_CharLFO3LVL4"/>
    <w:qFormat/>
    <w:rPr>
      <w:rFonts w:ascii="Symbol" w:hAnsi="Symbol"/>
    </w:rPr>
  </w:style>
  <w:style w:type="character" w:customStyle="1" w:styleId="WWCharLFO3LVL5">
    <w:name w:val="WW_CharLFO3LVL5"/>
    <w:qFormat/>
    <w:rPr>
      <w:rFonts w:ascii="Courier New" w:hAnsi="Courier New"/>
    </w:rPr>
  </w:style>
  <w:style w:type="character" w:customStyle="1" w:styleId="WWCharLFO3LVL6">
    <w:name w:val="WW_CharLFO3LVL6"/>
    <w:qFormat/>
    <w:rPr>
      <w:rFonts w:ascii="Wingdings" w:hAnsi="Wingdings"/>
    </w:rPr>
  </w:style>
  <w:style w:type="character" w:customStyle="1" w:styleId="WWCharLFO3LVL7">
    <w:name w:val="WW_CharLFO3LVL7"/>
    <w:qFormat/>
    <w:rPr>
      <w:rFonts w:ascii="Symbol" w:hAnsi="Symbol"/>
    </w:rPr>
  </w:style>
  <w:style w:type="character" w:customStyle="1" w:styleId="WWCharLFO3LVL8">
    <w:name w:val="WW_CharLFO3LVL8"/>
    <w:qFormat/>
    <w:rPr>
      <w:rFonts w:ascii="Courier New" w:hAnsi="Courier New"/>
    </w:rPr>
  </w:style>
  <w:style w:type="character" w:customStyle="1" w:styleId="WWCharLFO3LVL9">
    <w:name w:val="WW_CharLFO3LVL9"/>
    <w:qFormat/>
    <w:rPr>
      <w:rFonts w:ascii="Wingdings" w:hAnsi="Wingdings"/>
    </w:rPr>
  </w:style>
  <w:style w:type="paragraph" w:customStyle="1" w:styleId="Normal1">
    <w:name w:val="Normal1"/>
    <w:qFormat/>
    <w:pPr>
      <w:keepNext w:val="0"/>
      <w:keepLines w:val="0"/>
      <w:pageBreakBefore w:val="0"/>
      <w:widowControl/>
      <w:shd w:val="clear" w:color="auto" w:fill="auto"/>
      <w:suppressAutoHyphens w:val="0"/>
      <w:kinsoku/>
      <w:overflowPunct/>
      <w:autoSpaceDE/>
      <w:bidi w:val="0"/>
      <w:snapToGrid/>
      <w:spacing w:before="0" w:after="160" w:line="240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0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paragraph" w:customStyle="1" w:styleId="a3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styleId="BodyText">
    <w:name w:val="Body Text"/>
    <w:basedOn w:val="Normal"/>
    <w:pPr>
      <w:spacing w:before="0" w:after="140" w:line="276" w:lineRule="auto"/>
    </w:pPr>
  </w:style>
  <w:style w:type="paragraph" w:customStyle="1" w:styleId="a4">
    <w:name w:val="Обычный"/>
    <w:qFormat/>
    <w:pPr>
      <w:keepNext w:val="0"/>
      <w:keepLines w:val="0"/>
      <w:pageBreakBefore w:val="0"/>
      <w:widowControl/>
      <w:shd w:val="clear" w:color="auto" w:fill="auto"/>
      <w:suppressAutoHyphens/>
      <w:kinsoku/>
      <w:overflowPunct/>
      <w:autoSpaceDE/>
      <w:bidi w:val="0"/>
      <w:snapToGrid/>
      <w:spacing w:before="0" w:after="160" w:line="240" w:lineRule="auto"/>
      <w:jc w:val="left"/>
      <w:textAlignment w:val="auto"/>
    </w:pPr>
    <w:rPr>
      <w:rFonts w:ascii="Calibri" w:eastAsia="Calibri" w:hAnsi="Calibri" w:cs="Times New Roman"/>
      <w:b w:val="0"/>
      <w:bCs w:val="0"/>
      <w:i w:val="0"/>
      <w:iCs w:val="0"/>
      <w:caps w:val="0"/>
      <w:smallCaps w:val="0"/>
      <w:strike w:val="0"/>
      <w:dstrike w:val="0"/>
      <w:outline w:val="0"/>
      <w:emboss w:val="0"/>
      <w:imprint w:val="0"/>
      <w:color w:val="auto"/>
      <w:spacing w:val="0"/>
      <w:w w:val="100"/>
      <w:kern w:val="0"/>
      <w:position w:val="0"/>
      <w:sz w:val="22"/>
      <w:szCs w:val="22"/>
      <w:u w:val="none"/>
      <w:shd w:val="clear" w:color="auto" w:fill="auto"/>
      <w:vertAlign w:val="baseline"/>
      <w:lang w:val="en-GB" w:eastAsia="en-US" w:bidi="ar-SA"/>
    </w:rPr>
  </w:style>
  <w:style w:type="paragraph" w:customStyle="1" w:styleId="a5">
    <w:name w:val="Абзац списка"/>
    <w:basedOn w:val="a4"/>
    <w:qFormat/>
    <w:pPr>
      <w:tabs>
        <w:tab w:val="clear" w:pos="720"/>
      </w:tabs>
      <w:suppressAutoHyphens/>
      <w:spacing w:before="0" w:after="160"/>
      <w:ind w:left="720"/>
      <w:contextualSpacing/>
    </w:pPr>
  </w:style>
  <w:style w:type="paragraph" w:customStyle="1" w:styleId="Body">
    <w:name w:val="Body"/>
    <w:basedOn w:val="a4"/>
    <w:qFormat/>
    <w:pPr>
      <w:tabs>
        <w:tab w:val="clear" w:pos="720"/>
      </w:tabs>
      <w:suppressAutoHyphens/>
      <w:spacing w:before="0" w:after="0"/>
      <w:ind w:left="578"/>
      <w:jc w:val="both"/>
    </w:pPr>
    <w:rPr>
      <w:rFonts w:ascii="Arial" w:eastAsia="Arial Unicode MS" w:hAnsi="Arial" w:cs="Arial Unicode MS"/>
      <w:color w:val="000000"/>
      <w:lang w:eastAsia="en-GB"/>
    </w:rPr>
  </w:style>
  <w:style w:type="paragraph" w:customStyle="1" w:styleId="CommentText">
    <w:name w:val="Comment Text"/>
    <w:basedOn w:val="a4"/>
    <w:qFormat/>
    <w:pPr>
      <w:suppressAutoHyphens/>
    </w:pPr>
    <w:rPr>
      <w:sz w:val="20"/>
      <w:szCs w:val="20"/>
    </w:rPr>
  </w:style>
  <w:style w:type="paragraph" w:customStyle="1" w:styleId="a6">
    <w:name w:val="Верхний колонтитул"/>
    <w:basedOn w:val="a4"/>
    <w:qFormat/>
    <w:pPr>
      <w:tabs>
        <w:tab w:val="clear" w:pos="720"/>
        <w:tab w:val="center" w:pos="4680"/>
        <w:tab w:val="right" w:pos="9360"/>
      </w:tabs>
      <w:suppressAutoHyphens/>
      <w:spacing w:before="0" w:after="0"/>
    </w:pPr>
  </w:style>
  <w:style w:type="paragraph" w:customStyle="1" w:styleId="a7">
    <w:name w:val="Нижний колонтитул"/>
    <w:basedOn w:val="a4"/>
    <w:qFormat/>
    <w:pPr>
      <w:tabs>
        <w:tab w:val="clear" w:pos="720"/>
        <w:tab w:val="center" w:pos="4680"/>
        <w:tab w:val="right" w:pos="9360"/>
      </w:tabs>
      <w:suppressAutoHyphens/>
      <w:spacing w:before="0" w:after="0"/>
    </w:pPr>
  </w:style>
  <w:style w:type="paragraph" w:customStyle="1" w:styleId="a8">
    <w:name w:val="Верхній і нижній колонтитули"/>
    <w:basedOn w:val="Normal"/>
    <w:qFormat/>
    <w:pPr>
      <w:suppressLineNumbers/>
      <w:tabs>
        <w:tab w:val="clear" w:pos="720"/>
        <w:tab w:val="center" w:pos="4819"/>
        <w:tab w:val="right" w:pos="9638"/>
      </w:tabs>
    </w:pPr>
  </w:style>
  <w:style w:type="paragraph" w:customStyle="1" w:styleId="Header">
    <w:name w:val="Header"/>
    <w:basedOn w:val="Normal1"/>
    <w:pPr>
      <w:tabs>
        <w:tab w:val="clear" w:pos="720"/>
        <w:tab w:val="center" w:pos="4680"/>
        <w:tab w:val="right" w:pos="9360"/>
      </w:tabs>
      <w:suppressAutoHyphens w:val="0"/>
      <w:spacing w:before="0" w:after="0"/>
    </w:pPr>
  </w:style>
  <w:style w:type="paragraph" w:customStyle="1" w:styleId="Footer">
    <w:name w:val="Footer"/>
    <w:basedOn w:val="Normal1"/>
    <w:pPr>
      <w:tabs>
        <w:tab w:val="clear" w:pos="720"/>
        <w:tab w:val="center" w:pos="4680"/>
        <w:tab w:val="right" w:pos="9360"/>
      </w:tabs>
      <w:suppressAutoHyphens w:val="0"/>
      <w:spacing w:before="0" w:after="0"/>
    </w:pPr>
  </w:style>
  <w:style w:type="paragraph" w:customStyle="1" w:styleId="a9">
    <w:name w:val="Вміст таблиці"/>
    <w:basedOn w:val="Normal"/>
    <w:qFormat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3" Type="http://schemas.openxmlformats.org/officeDocument/2006/relationships/fontTable" Target="fontTable.xml"/><Relationship Id="rId7" Type="http://schemas.openxmlformats.org/officeDocument/2006/relationships/numbering" Target="numbering.xml"/><Relationship Id="rId2" Type="http://schemas.openxmlformats.org/officeDocument/2006/relationships/webSettings" Target="webSettings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11" Type="http://schemas.openxmlformats.org/officeDocument/2006/relationships/customXml" Target="../customXml/item3.xml"/><Relationship Id="rId5" Type="http://schemas.openxmlformats.org/officeDocument/2006/relationships/footer" Target="footer1.xml"/><Relationship Id="rId10" Type="http://schemas.openxmlformats.org/officeDocument/2006/relationships/customXml" Target="../customXml/item2.xml"/><Relationship Id="rId4" Type="http://schemas.openxmlformats.org/officeDocument/2006/relationships/header" Target="header1.xml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E19DEE23B9884E92D82BCF69B845EF" ma:contentTypeVersion="17" ma:contentTypeDescription="Create a new document." ma:contentTypeScope="" ma:versionID="03fc58d536acbc0900eb2368dde504cc">
  <xsd:schema xmlns:xsd="http://www.w3.org/2001/XMLSchema" xmlns:xs="http://www.w3.org/2001/XMLSchema" xmlns:p="http://schemas.microsoft.com/office/2006/metadata/properties" xmlns:ns2="22f695c2-b2dc-4df9-87ae-ad0467d1da7b" xmlns:ns3="7a315ee5-8fd3-49be-9565-269b5c31e81a" targetNamespace="http://schemas.microsoft.com/office/2006/metadata/properties" ma:root="true" ma:fieldsID="a19fa0bb6808b4b12e597aff52e2f813" ns2:_="" ns3:_="">
    <xsd:import namespace="22f695c2-b2dc-4df9-87ae-ad0467d1da7b"/>
    <xsd:import namespace="7a315ee5-8fd3-49be-9565-269b5c31e81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695c2-b2dc-4df9-87ae-ad0467d1da7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abc64df7-5fe1-4872-8e08-de13882521d5}" ma:internalName="TaxCatchAll" ma:showField="CatchAllData" ma:web="22f695c2-b2dc-4df9-87ae-ad0467d1da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315ee5-8fd3-49be-9565-269b5c31e81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1707f21-cf68-4afa-8119-95b081c472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315ee5-8fd3-49be-9565-269b5c31e81a">
      <Terms xmlns="http://schemas.microsoft.com/office/infopath/2007/PartnerControls"/>
    </lcf76f155ced4ddcb4097134ff3c332f>
    <TaxCatchAll xmlns="22f695c2-b2dc-4df9-87ae-ad0467d1da7b" xsi:nil="true"/>
  </documentManagement>
</p:properties>
</file>

<file path=customXml/itemProps1.xml><?xml version="1.0" encoding="utf-8"?>
<ds:datastoreItem xmlns:ds="http://schemas.openxmlformats.org/officeDocument/2006/customXml" ds:itemID="{E56B5738-C53C-4294-841E-502EA061B6E8}"/>
</file>

<file path=customXml/itemProps2.xml><?xml version="1.0" encoding="utf-8"?>
<ds:datastoreItem xmlns:ds="http://schemas.openxmlformats.org/officeDocument/2006/customXml" ds:itemID="{B5A1F17F-1571-48EF-BE1F-F6413A0C8FC3}"/>
</file>

<file path=customXml/itemProps3.xml><?xml version="1.0" encoding="utf-8"?>
<ds:datastoreItem xmlns:ds="http://schemas.openxmlformats.org/officeDocument/2006/customXml" ds:itemID="{C008BD2C-95DA-45E3-9589-13CC3629E8F5}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177</Words>
  <Characters>1015</Characters>
  <Application>Microsoft Office Word</Application>
  <DocSecurity>0</DocSecurity>
  <Lines>0</Lines>
  <Paragraphs>2</Paragraphs>
  <ScaleCrop>false</ScaleCrop>
  <Company/>
  <LinksUpToDate>false</LinksUpToDate>
  <CharactersWithSpaces>1190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

<file path=docProps/core1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2024-10-24T14:56:00Z</dcterms:created>
  <dc:creator>David Stoveld</dc:creator>
  <dc:description/>
  <dc:language>uk-UA</dc:language>
  <cp:lastModifiedBy>Mert Mazmanci</cp:lastModifiedBy>
  <dcterms:modified xsi:type="dcterms:W3CDTF">2024-10-24T14:56:00Z</dcterms:modified>
  <cp:revision>80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50e751f-a0b2-413d-995d-abe80fb38978_ActionId">
    <vt:lpwstr>c74c4dfe-7c94-44da-b366-dc41fb1da498</vt:lpwstr>
  </property>
  <property fmtid="{D5CDD505-2E9C-101B-9397-08002B2CF9AE}" pid="3" name="MSIP_Label_c50e751f-a0b2-413d-995d-abe80fb38978_ContentBits">
    <vt:lpwstr>0</vt:lpwstr>
  </property>
  <property fmtid="{D5CDD505-2E9C-101B-9397-08002B2CF9AE}" pid="4" name="MSIP_Label_c50e751f-a0b2-413d-995d-abe80fb38978_Enabled">
    <vt:lpwstr>true</vt:lpwstr>
  </property>
  <property fmtid="{D5CDD505-2E9C-101B-9397-08002B2CF9AE}" pid="5" name="MSIP_Label_c50e751f-a0b2-413d-995d-abe80fb38978_Method">
    <vt:lpwstr>Standard</vt:lpwstr>
  </property>
  <property fmtid="{D5CDD505-2E9C-101B-9397-08002B2CF9AE}" pid="6" name="MSIP_Label_c50e751f-a0b2-413d-995d-abe80fb38978_Name">
    <vt:lpwstr>c50e751f-a0b2-413d-995d-abe80fb38978</vt:lpwstr>
  </property>
  <property fmtid="{D5CDD505-2E9C-101B-9397-08002B2CF9AE}" pid="7" name="MSIP_Label_c50e751f-a0b2-413d-995d-abe80fb38978_SetDate">
    <vt:lpwstr>2022-01-06T12:28:33Z</vt:lpwstr>
  </property>
  <property fmtid="{D5CDD505-2E9C-101B-9397-08002B2CF9AE}" pid="8" name="MSIP_Label_c50e751f-a0b2-413d-995d-abe80fb38978_SiteId">
    <vt:lpwstr>7d2ba175-3f46-48a8-aaba-30563a31b927</vt:lpwstr>
  </property>
  <property fmtid="{D5CDD505-2E9C-101B-9397-08002B2CF9AE}" pid="9" name="ContentTypeId">
    <vt:lpwstr>0x0101004DE19DEE23B9884E92D82BCF69B845EF</vt:lpwstr>
  </property>
</Properties>
</file>