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ore1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bidi w:val="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  <w:rtl w:val="0"/>
          <w:lang w:val="fi"/>
        </w:rPr>
        <w:t>Cookie Bonanza</w:t>
      </w:r>
    </w:p>
    <w:p>
      <w:pPr>
        <w:pStyle w:val="Normal1"/>
        <w:bidi w:val="0"/>
      </w:pPr>
      <w:r>
        <w:rPr>
          <w:rStyle w:val="DefaultParagraphFont"/>
          <w:b/>
          <w:bCs/>
          <w:rtl w:val="0"/>
          <w:lang w:val="fi"/>
        </w:rPr>
        <w:t>Cookie Bonanza</w:t>
      </w:r>
      <w:r>
        <w:rPr>
          <w:rStyle w:val="DefaultParagraphFont"/>
          <w:rFonts w:cs="Calibri"/>
          <w:color w:val="000000"/>
          <w:rtl w:val="0"/>
          <w:lang w:val="fi"/>
        </w:rPr>
        <w:t xml:space="preserve"> on 6x5-asetteluinen ”voittoja kaikkialla” -videokolikkopeli, jossa ominaisuuksina sarjarullat, ilmaiset pyöräytykset, kultainen panos -toiminto nostamaan ilmaisten kierrosten ja ostobonus-toimintojen saamisen mahdollisuuksia. Vastaavien symbolien pysähtyminen missä tahansa rullilla jokaisella pyöräytyksellä luo voiton kunkin symbolin voittotaulukon mukaisesti. </w:t>
      </w:r>
      <w:r>
        <w:rPr>
          <w:rStyle w:val="DefaultParagraphFont"/>
          <w:rFonts w:cs="Calibri"/>
          <w:rtl w:val="0"/>
          <w:lang w:val="fi"/>
        </w:rPr>
        <w:t>Todellinen voitonmaksu vastaa dynaamisen maksutaulukon arvoja vastaten jokaisen linjan voittoa.  Samanaikaiset tai peräkkäiset voitot lisätään yhteen. Peliä pelataan kokonaispanoksella.</w:t>
      </w:r>
    </w:p>
    <w:p>
      <w:pPr>
        <w:pStyle w:val="Normal1"/>
        <w:bidi w:val="0"/>
        <w:rPr>
          <w:rFonts w:ascii="Calibri Light" w:eastAsia="Yu Gothic Light" w:hAnsi="Calibri Light"/>
          <w:color w:val="2F5496"/>
          <w:sz w:val="25"/>
          <w:szCs w:val="25"/>
        </w:rPr>
      </w:pPr>
      <w:r>
        <w:rPr>
          <w:rFonts w:ascii="Calibri Light" w:eastAsia="Yu Gothic Light" w:hAnsi="Calibri Light"/>
          <w:color w:val="2F5496"/>
          <w:sz w:val="25"/>
          <w:szCs w:val="25"/>
          <w:rtl w:val="0"/>
          <w:lang w:val="fi"/>
        </w:rPr>
        <w:t>Kiepsahdusvoitot</w:t>
      </w:r>
    </w:p>
    <w:p>
      <w:pPr>
        <w:pStyle w:val="Normal1"/>
        <w:bidi w:val="0"/>
      </w:pPr>
      <w:r>
        <w:rPr>
          <w:rStyle w:val="DefaultParagraphFont"/>
          <w:rFonts w:cs="Calibri"/>
          <w:color w:val="000000"/>
          <w:rtl w:val="0"/>
          <w:lang w:val="fi"/>
        </w:rPr>
        <w:t xml:space="preserve">Peruspelin aikana sarjarullat ovat aktiivisia, joten kaikki voittosymbolit poistetaan rullilta jokaisen maksetun voiton jälkeen tehden tilaa uusille symboleille. Tämä voi johtaa uusiin yhdistelmiin ja voittoihin. </w:t>
        <w:br/>
      </w:r>
    </w:p>
    <w:p>
      <w:pPr>
        <w:pStyle w:val="Normal1"/>
        <w:bidi w:val="0"/>
        <w:rPr>
          <w:rFonts w:ascii="Calibri Light" w:eastAsia="Yu Gothic Light" w:hAnsi="Calibri Light"/>
          <w:color w:val="2F5496"/>
          <w:sz w:val="25"/>
          <w:szCs w:val="25"/>
        </w:rPr>
      </w:pPr>
      <w:r>
        <w:rPr>
          <w:rFonts w:ascii="Calibri Light" w:eastAsia="Yu Gothic Light" w:hAnsi="Calibri Light"/>
          <w:color w:val="2F5496"/>
          <w:sz w:val="25"/>
          <w:szCs w:val="25"/>
          <w:rtl w:val="0"/>
          <w:lang w:val="fi"/>
        </w:rPr>
        <w:t>Ilmaiset pyöräytykset</w:t>
      </w:r>
    </w:p>
    <w:p>
      <w:pPr>
        <w:pStyle w:val="Normal1"/>
        <w:bidi w:val="0"/>
      </w:pPr>
      <w:r>
        <w:rPr>
          <w:rtl w:val="0"/>
          <w:lang w:val="fi"/>
        </w:rPr>
        <w:t>4 tai useamman [Scatterin] pysähtyminen pelin aikana palkitse 10 ilmaisella pyöräytyksellä.</w:t>
      </w:r>
    </w:p>
    <w:p>
      <w:pPr>
        <w:pStyle w:val="Normal1"/>
        <w:bidi w:val="0"/>
        <w:spacing w:before="240" w:after="240"/>
      </w:pPr>
      <w:r>
        <w:rPr>
          <w:rtl w:val="0"/>
          <w:lang w:val="fi"/>
        </w:rPr>
        <w:t xml:space="preserve">Ilmaisten pyöräytysten aikana sarjarullaominaisuus on aktiivinen kuten peruspelissäkin. Lisäksi [Keksipurkki]-kerroinsymbolit voivat pysähtyä mihin tahansa kohtaan rullilla. Pysähdyttyään kaikki pyöräytyksen kerroinsymbolit lasketaan yhteen ja kokonaiskiepsahdusvoitto kerrotaan pyöräytyksen kerroinsymbolien summalla. [Keksipurkki]-kerroinsymbolin kerroin voi olla enintään 100x yhdellä pyöräytyksellä. [Keksipurkki]-kerroinsymbolit poistetaan sarjan lopuksi. </w:t>
      </w:r>
    </w:p>
    <w:p>
      <w:pPr>
        <w:pStyle w:val="Normal1"/>
        <w:bidi w:val="0"/>
        <w:spacing w:before="240" w:after="240"/>
      </w:pPr>
      <w:r>
        <w:rPr>
          <w:rtl w:val="0"/>
          <w:lang w:val="fi"/>
        </w:rPr>
        <w:t>3 [Scatter]-symbolin pysähtyminen ilmaisilla pyöräytyksillä palkitsee 5 ilmaisella lisäpyöräytyksellä.</w:t>
        <w:br/>
      </w:r>
    </w:p>
    <w:p>
      <w:pPr>
        <w:pStyle w:val="Normal1"/>
        <w:bidi w:val="0"/>
        <w:rPr>
          <w:rFonts w:ascii="Calibri Light" w:eastAsia="Yu Gothic Light" w:hAnsi="Calibri Light"/>
          <w:color w:val="2F5496"/>
          <w:sz w:val="25"/>
          <w:szCs w:val="25"/>
        </w:rPr>
      </w:pPr>
      <w:r>
        <w:rPr>
          <w:rFonts w:ascii="Calibri Light" w:eastAsia="Yu Gothic Light" w:hAnsi="Calibri Light"/>
          <w:color w:val="2F5496"/>
          <w:sz w:val="25"/>
          <w:szCs w:val="25"/>
          <w:rtl w:val="0"/>
          <w:lang w:val="fi"/>
        </w:rPr>
        <w:t>Ilmaiset superpyöräytykset</w:t>
      </w:r>
    </w:p>
    <w:p>
      <w:pPr>
        <w:pStyle w:val="Normal1"/>
        <w:bidi w:val="0"/>
      </w:pPr>
      <w:r>
        <w:rPr>
          <w:rtl w:val="0"/>
          <w:lang w:val="fi"/>
        </w:rPr>
        <w:t>Ilmaiset superpyöräytykset voivat käynnistyä, kun 4 tai useampia [Scatteria] pysähtyy kultaisen panoksen käytössä ollessa. Ostobonus on toinen mahdollisuus ilmaisten superpyöräytysten käynnistymiselle peruspelin aikana palkiten myös 10 ilmaisella superpyöräytyksellä.</w:t>
      </w:r>
    </w:p>
    <w:p>
      <w:pPr>
        <w:pStyle w:val="Normal1"/>
        <w:bidi w:val="0"/>
      </w:pPr>
      <w:r>
        <w:rPr>
          <w:rtl w:val="0"/>
          <w:lang w:val="fi"/>
        </w:rPr>
        <w:t>Käynnistyttyään pysyvät [Keksikääre]-kerroinsymbolit voivat ilmestyä ilmaisten superpyöräytysten aikana [Keksipurkki]-kerroinsymbolien lisäksi. Kun pysyvät [Keksikääre]-kerroinsymboli pysähtyy voittosarjassa rullille, se pysyy paikallaan ilmaisten superpyöräytysten loppuun asti. Kun pysyviä [Keksikääre]-kerroinsymboleja pysähtyy rullille sarjavoitossa, näiden symbolien kertoimet lasketaan yhteen muodostaen yleisen kertoimen tälle ilmaiselle superpyöräytykselle. Jokainen sarjavoiton pysähtyvä [Keksikääre]-symboli nostaa yleistä kerrointa. Jokaisen kiepsahdussarjan lopuksi kokonaisvoitto kerrotaan sen sarjan yleisellä kertoimella ja kaikilla voittosarjassa pysähtyneillä [Keksikääre]-symboleilla, jotka ovat jääneet lopuille ilmaisille superpyöräytyksille. [Keksikääre]-kerroinsymbolin arvo voi olla enintään x100 yhdellä pyöräytyksellä.</w:t>
      </w:r>
    </w:p>
    <w:p>
      <w:pPr>
        <w:pStyle w:val="Normal1"/>
        <w:bidi w:val="0"/>
      </w:pPr>
      <w:r>
        <w:rPr>
          <w:rtl w:val="0"/>
          <w:lang w:val="fi"/>
        </w:rPr>
        <w:t>3 [Scatter]-symbolin pysähtyminen ilmaisilla pyöräytyksillä palkitsee 5 ilmaisella lisäpyöräytyksellä.</w:t>
      </w:r>
    </w:p>
    <w:p>
      <w:pPr>
        <w:pStyle w:val="Normal1"/>
        <w:bidi w:val="0"/>
      </w:pPr>
      <w:r>
        <w:rPr>
          <w:rtl w:val="0"/>
          <w:lang w:val="fi"/>
        </w:rPr>
        <w:t>Sekä ilmaisten superpyöräytysten ja ilmaisten pyöräytysten aikana yleinen kerroin voi olla enintään x2 000.</w:t>
      </w:r>
    </w:p>
    <w:p>
      <w:pPr>
        <w:pStyle w:val="Normal1"/>
      </w:pPr>
    </w:p>
    <w:p>
      <w:pPr>
        <w:pStyle w:val="Normal1"/>
        <w:bidi w:val="0"/>
        <w:rPr>
          <w:rFonts w:ascii="Calibri Light" w:eastAsia="Yu Gothic Light" w:hAnsi="Calibri Light"/>
          <w:color w:val="2F5496"/>
          <w:sz w:val="25"/>
          <w:szCs w:val="25"/>
        </w:rPr>
      </w:pPr>
      <w:r>
        <w:rPr>
          <w:rFonts w:ascii="Calibri Light" w:eastAsia="Yu Gothic Light" w:hAnsi="Calibri Light"/>
          <w:color w:val="2F5496"/>
          <w:sz w:val="25"/>
          <w:szCs w:val="25"/>
          <w:rtl w:val="0"/>
          <w:lang w:val="fi"/>
        </w:rPr>
        <w:t>Kultainen panos</w:t>
      </w:r>
    </w:p>
    <w:p>
      <w:pPr>
        <w:pStyle w:val="Normal1"/>
        <w:bidi w:val="0"/>
      </w:pPr>
      <w:r>
        <w:rPr>
          <w:rStyle w:val="DefaultParagraphFont"/>
          <w:rFonts w:cs="Calibri"/>
          <w:color w:val="000000"/>
          <w:rtl w:val="0"/>
          <w:lang w:val="fi"/>
        </w:rPr>
        <w:t xml:space="preserve">Kultainen panos voidaan ottaa käyttöön peruspelin aikana. </w:t>
      </w:r>
      <w:r>
        <w:rPr>
          <w:rStyle w:val="DefaultParagraphFont"/>
          <w:rFonts w:cs="Calibri"/>
          <w:rtl w:val="0"/>
          <w:lang w:val="fi"/>
        </w:rPr>
        <w:t xml:space="preserve">Kun se on käytössä, kultainen panos tuplaa ilmaisten kierrosten mahdollisuuden ja nostaa ilmaiset pyöräytykset ilmaisiksi superpyöräytyksiksi pysyvillä kertoimilla. </w:t>
      </w:r>
    </w:p>
    <w:p>
      <w:pPr>
        <w:pStyle w:val="Normal1"/>
        <w:bidi w:val="0"/>
      </w:pPr>
      <w:r>
        <w:rPr>
          <w:rStyle w:val="DefaultParagraphFont"/>
          <w:rFonts w:cs="Calibri"/>
          <w:color w:val="000000"/>
          <w:rtl w:val="0"/>
          <w:lang w:val="fi"/>
        </w:rPr>
        <w:t xml:space="preserve">Kultaisen panoksen aktivointi maksaa 2x nykyisen kokonaispanoksen verran. </w:t>
      </w:r>
    </w:p>
    <w:p>
      <w:pPr>
        <w:pStyle w:val="Normal1"/>
        <w:rPr>
          <w:rFonts w:cs="Calibri"/>
        </w:rPr>
      </w:pPr>
    </w:p>
    <w:p>
      <w:pPr>
        <w:pStyle w:val="Normal1"/>
        <w:bidi w:val="0"/>
        <w:rPr>
          <w:rFonts w:ascii="Calibri Light" w:eastAsia="Calibri Light" w:hAnsi="Calibri Light" w:cs="Calibri Light"/>
          <w:color w:val="2F5496"/>
          <w:sz w:val="25"/>
          <w:szCs w:val="25"/>
        </w:rPr>
      </w:pPr>
      <w:r>
        <w:rPr>
          <w:rFonts w:ascii="Calibri Light" w:eastAsia="Calibri Light" w:hAnsi="Calibri Light" w:cs="Calibri Light"/>
          <w:color w:val="2F5496"/>
          <w:sz w:val="25"/>
          <w:szCs w:val="25"/>
          <w:rtl w:val="0"/>
          <w:lang w:val="fi"/>
        </w:rPr>
        <w:t xml:space="preserve">Ilmaisten pyöräytysten ostaminen </w:t>
      </w:r>
    </w:p>
    <w:p>
      <w:pPr>
        <w:pStyle w:val="Normal1"/>
        <w:bidi w:val="0"/>
        <w:rPr>
          <w:rFonts w:cs="Calibri"/>
          <w:color w:val="000000"/>
        </w:rPr>
      </w:pPr>
      <w:r>
        <w:rPr>
          <w:rFonts w:cs="Calibri"/>
          <w:color w:val="000000"/>
          <w:rtl w:val="0"/>
          <w:lang w:val="fi"/>
        </w:rPr>
        <w:t xml:space="preserve">Siirry vahvistusnäytölle painamalla [Osta ilmaisia pyöräytyksiä] -painiketta. Valitse bonuksen panos ja vahvista panos ja käynnistä ilmaiset pyöräytykset automaattisesti painamalla [Osta].  </w:t>
      </w:r>
    </w:p>
    <w:p>
      <w:pPr>
        <w:pStyle w:val="Normal1"/>
        <w:bidi w:val="0"/>
        <w:rPr>
          <w:rFonts w:cs="Calibri"/>
          <w:color w:val="000000"/>
        </w:rPr>
      </w:pPr>
      <w:r>
        <w:rPr>
          <w:rFonts w:cs="Calibri"/>
          <w:color w:val="000000"/>
          <w:rtl w:val="0"/>
          <w:lang w:val="fi"/>
        </w:rPr>
        <w:t xml:space="preserve">[Ilmaisten pyöräytysten osto]ssa on kaksi mahdollisuutta. </w:t>
      </w:r>
    </w:p>
    <w:p>
      <w:pPr>
        <w:pStyle w:val="Normal1"/>
        <w:bidi w:val="0"/>
        <w:rPr>
          <w:rFonts w:cs="Calibri"/>
          <w:color w:val="000000"/>
        </w:rPr>
      </w:pPr>
      <w:r>
        <w:rPr>
          <w:rFonts w:cs="Calibri"/>
          <w:color w:val="000000"/>
          <w:rtl w:val="0"/>
          <w:lang w:val="fi"/>
        </w:rPr>
        <w:t>Ilmaisten pyöräytysten ostobonuksen RTP on 96,32 %. Se maksaa 100x nykyinen panos.</w:t>
      </w:r>
    </w:p>
    <w:p>
      <w:pPr>
        <w:pStyle w:val="Normal1"/>
        <w:bidi w:val="0"/>
      </w:pPr>
      <w:r>
        <w:rPr>
          <w:rStyle w:val="DefaultParagraphFont"/>
          <w:rFonts w:cs="Calibri"/>
          <w:color w:val="000000"/>
          <w:rtl w:val="0"/>
          <w:lang w:val="fi"/>
        </w:rPr>
        <w:t>Ilmaisten superpyöräytysten RTP on 96,44 %. Se maksaa 150x nykyinen panos.</w:t>
      </w:r>
    </w:p>
    <w:p>
      <w:pPr>
        <w:pStyle w:val="Normal1"/>
        <w:bidi w:val="0"/>
        <w:rPr>
          <w:rFonts w:cs="Calibri"/>
          <w:color w:val="242424"/>
        </w:rPr>
      </w:pPr>
      <w:r>
        <w:rPr>
          <w:rFonts w:cs="Calibri"/>
          <w:color w:val="242424"/>
          <w:rtl w:val="0"/>
          <w:lang w:val="fi"/>
        </w:rPr>
        <w:t>Osto-ominaisuus ei välttämättä ole saatavilla kaikilla markkinoilla.</w:t>
      </w:r>
    </w:p>
    <w:p>
      <w:pPr>
        <w:pStyle w:val="Normal1"/>
      </w:pPr>
      <w:r>
        <w:rPr>
          <w:rStyle w:val="DefaultParagraphFont"/>
          <w:rFonts w:cs="Calibri"/>
        </w:rPr>
        <w:t xml:space="preserve"> </w:t>
      </w:r>
    </w:p>
    <w:p>
      <w:pPr>
        <w:pStyle w:val="Heading2"/>
        <w:tabs>
          <w:tab w:val="left" w:pos="0"/>
          <w:tab w:val="clear" w:pos="720"/>
        </w:tabs>
        <w:bidi w:val="0"/>
        <w:ind w:left="0" w:firstLine="0"/>
      </w:pPr>
      <w:r>
        <w:rPr>
          <w:rStyle w:val="DefaultParagraphFont"/>
          <w:rFonts w:eastAsia="Calibri Light" w:cs="Calibri Light"/>
          <w:sz w:val="25"/>
          <w:szCs w:val="25"/>
          <w:rtl w:val="0"/>
          <w:lang w:val="fi"/>
        </w:rPr>
        <w:t>Pelin RTP</w:t>
      </w:r>
    </w:p>
    <w:p>
      <w:pPr>
        <w:pStyle w:val="Normal1"/>
      </w:pPr>
    </w:p>
    <w:p>
      <w:pPr>
        <w:pStyle w:val="Normal1"/>
        <w:bidi w:val="0"/>
        <w:spacing w:before="0" w:after="0"/>
        <w:rPr>
          <w:rFonts w:cs="Calibri"/>
        </w:rPr>
      </w:pPr>
      <w:r>
        <w:rPr>
          <w:rFonts w:cs="Calibri"/>
          <w:rtl w:val="0"/>
          <w:lang w:val="fi"/>
        </w:rPr>
        <w:t>Kun pelaaja päättää pelata tavallisella panoksella, on RTP 96,21 %.</w:t>
      </w:r>
    </w:p>
    <w:p>
      <w:pPr>
        <w:pStyle w:val="Normal1"/>
        <w:bidi w:val="0"/>
        <w:spacing w:before="0" w:after="0"/>
        <w:rPr>
          <w:rFonts w:cs="Calibri"/>
        </w:rPr>
      </w:pPr>
      <w:r>
        <w:rPr>
          <w:rFonts w:cs="Calibri"/>
          <w:rtl w:val="0"/>
          <w:lang w:val="fi"/>
        </w:rPr>
        <w:t xml:space="preserve">Kun pelaaja päättää pelata kultaisella panoksella, on RTP 96,12 %. </w:t>
      </w:r>
    </w:p>
    <w:p>
      <w:pPr>
        <w:pStyle w:val="Normal1"/>
      </w:pPr>
    </w:p>
    <w:p>
      <w:pPr>
        <w:pStyle w:val="Normal1"/>
        <w:bidi w:val="0"/>
        <w:spacing w:before="0" w:after="0"/>
        <w:rPr>
          <w:rFonts w:cs="Calibri"/>
          <w:color w:val="000000"/>
        </w:rPr>
      </w:pPr>
      <w:r>
        <w:rPr>
          <w:rFonts w:cs="Calibri"/>
          <w:color w:val="000000"/>
          <w:rtl w:val="0"/>
          <w:lang w:val="fi"/>
        </w:rPr>
        <w:t>VÄHIMMÄISPANOS: 0,20 €</w:t>
      </w:r>
    </w:p>
    <w:p>
      <w:pPr>
        <w:pStyle w:val="Normal1"/>
        <w:bidi w:val="0"/>
        <w:spacing w:before="0" w:after="0"/>
        <w:rPr>
          <w:rFonts w:cs="Calibri"/>
          <w:color w:val="000000"/>
        </w:rPr>
      </w:pPr>
      <w:r>
        <w:rPr>
          <w:rFonts w:cs="Calibri"/>
          <w:color w:val="000000"/>
          <w:rtl w:val="0"/>
          <w:lang w:val="fi"/>
        </w:rPr>
        <w:t>ENIMMÄISPANOS: 200,00 €</w:t>
      </w:r>
    </w:p>
    <w:p>
      <w:pPr>
        <w:pStyle w:val="Normal1"/>
        <w:rPr>
          <w:rFonts w:cs="Calibri"/>
          <w:color w:val="000000"/>
        </w:rPr>
      </w:pPr>
    </w:p>
    <w:p>
      <w:pPr>
        <w:pStyle w:val="Normal1"/>
        <w:rPr>
          <w:rFonts w:eastAsia="Yu Mincho" w:cs="Arial"/>
          <w:color w:val="242424"/>
        </w:rPr>
      </w:pPr>
    </w:p>
    <w:sectPr>
      <w:type w:val="nextPage"/>
      <w:pgSz w:w="11906" w:h="16838"/>
      <w:pgMar w:top="1440" w:right="1440" w:bottom="1440" w:left="1440" w:header="0" w:footer="0" w:gutter="0"/>
      <w:pgNumType w:fmt="decimal"/>
      <w:cols w:space="708"/>
      <w:formProt w:val="0"/>
      <w:textDirection w:val="lrTb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2570A4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widowControl/>
        <w:suppressAutoHyphens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 w:val="0"/>
      <w:keepLines w:val="0"/>
      <w:pageBreakBefore w:val="0"/>
      <w:widowControl/>
      <w:shd w:val="clear" w:color="auto" w:fill="auto"/>
      <w:kinsoku/>
      <w:overflowPunct/>
      <w:autoSpaceDE/>
      <w:bidi w:val="0"/>
      <w:snapToGrid/>
      <w:spacing w:before="0" w:after="160" w:line="240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0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character" w:default="1" w:styleId="DefaultParagraphFont">
    <w:name w:val="Default Paragraph Font"/>
    <w:qFormat/>
  </w:style>
  <w:style w:type="paragraph" w:customStyle="1" w:styleId="Heading2">
    <w:name w:val="Heading 2"/>
    <w:basedOn w:val="Normal1"/>
    <w:next w:val="Normal1"/>
    <w:qFormat/>
    <w:pPr>
      <w:keepNext/>
      <w:keepLines/>
      <w:numPr>
        <w:ilvl w:val="1"/>
        <w:numId w:val="1"/>
      </w:numPr>
      <w:suppressAutoHyphens/>
      <w:spacing w:before="40" w:after="0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customStyle="1" w:styleId="Heading2Char">
    <w:name w:val="Heading 2 Char"/>
    <w:basedOn w:val="DefaultParagraphFont"/>
    <w:qFormat/>
    <w:rPr>
      <w:rFonts w:ascii="Calibri Light" w:eastAsia="Yu Gothic Light" w:hAnsi="Calibri Light" w:cs="Times New Roman"/>
      <w:color w:val="2F5496"/>
      <w:sz w:val="26"/>
      <w:szCs w:val="26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customStyle="1" w:styleId="Normal1">
    <w:name w:val="Normal1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/>
      <w:autoSpaceDE/>
      <w:bidi w:val="0"/>
      <w:snapToGrid/>
      <w:spacing w:before="0" w:after="160" w:line="240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0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paragraph" w:styleId="ListParagraph">
    <w:name w:val="List Paragraph"/>
    <w:basedOn w:val="Normal1"/>
    <w:qFormat/>
    <w:pPr>
      <w:tabs>
        <w:tab w:val="clear" w:pos="720"/>
      </w:tabs>
      <w:suppressAutoHyphens/>
      <w:spacing w:before="0"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3168FC98-0B7D-49CD-AE5B-7A3B4D2392E3}"/>
</file>

<file path=customXml/itemProps2.xml><?xml version="1.0" encoding="utf-8"?>
<ds:datastoreItem xmlns:ds="http://schemas.openxmlformats.org/officeDocument/2006/customXml" ds:itemID="{8A7769D2-B818-44D5-96E3-91CCD7C5B294}"/>
</file>

<file path=customXml/itemProps3.xml><?xml version="1.0" encoding="utf-8"?>
<ds:datastoreItem xmlns:ds="http://schemas.openxmlformats.org/officeDocument/2006/customXml" ds:itemID="{AF16FB7F-3E37-4A5B-B26A-0583A70C463F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533</Words>
  <Characters>3042</Characters>
  <Application>Microsoft Office Word</Application>
  <DocSecurity>0</DocSecurity>
  <Lines>0</Lines>
  <Paragraphs>7</Paragraphs>
  <ScaleCrop>false</ScaleCrop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2024-05-08T11:34:00Z</dcterms:created>
  <dc:creator>David Stoveld</dc:creator>
  <dc:description/>
  <dc:language>uk-UA</dc:language>
  <cp:lastModifiedBy>Mert Mazmanci</cp:lastModifiedBy>
  <dcterms:modified xsi:type="dcterms:W3CDTF">2024-05-08T11:34:00Z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ActionId">
    <vt:lpwstr>c74c4dfe-7c94-44da-b366-dc41fb1da498</vt:lpwstr>
  </property>
  <property fmtid="{D5CDD505-2E9C-101B-9397-08002B2CF9AE}" pid="3" name="MSIP_Label_c50e751f-a0b2-413d-995d-abe80fb38978_ContentBits">
    <vt:lpwstr>0</vt:lpwstr>
  </property>
  <property fmtid="{D5CDD505-2E9C-101B-9397-08002B2CF9AE}" pid="4" name="MSIP_Label_c50e751f-a0b2-413d-995d-abe80fb38978_Enabled">
    <vt:lpwstr>true</vt:lpwstr>
  </property>
  <property fmtid="{D5CDD505-2E9C-101B-9397-08002B2CF9AE}" pid="5" name="MSIP_Label_c50e751f-a0b2-413d-995d-abe80fb38978_Method">
    <vt:lpwstr>Standard</vt:lpwstr>
  </property>
  <property fmtid="{D5CDD505-2E9C-101B-9397-08002B2CF9AE}" pid="6" name="MSIP_Label_c50e751f-a0b2-413d-995d-abe80fb38978_Name">
    <vt:lpwstr>c50e751f-a0b2-413d-995d-abe80fb38978</vt:lpwstr>
  </property>
  <property fmtid="{D5CDD505-2E9C-101B-9397-08002B2CF9AE}" pid="7" name="MSIP_Label_c50e751f-a0b2-413d-995d-abe80fb38978_SetDate">
    <vt:lpwstr>2022-01-06T12:28:33Z</vt:lpwstr>
  </property>
  <property fmtid="{D5CDD505-2E9C-101B-9397-08002B2CF9AE}" pid="8" name="MSIP_Label_c50e751f-a0b2-413d-995d-abe80fb38978_SiteId">
    <vt:lpwstr>7d2ba175-3f46-48a8-aaba-30563a31b927</vt:lpwstr>
  </property>
  <property fmtid="{D5CDD505-2E9C-101B-9397-08002B2CF9AE}" pid="9" name="ContentTypeId">
    <vt:lpwstr>0x0101004DE19DEE23B9884E92D82BCF69B845EF</vt:lpwstr>
  </property>
</Properties>
</file>