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ore1.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openxmlformats.org/officedocument/2006/relationships/metadata/core-properties" Target="docProps/core1.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Normal1"/>
        <w:bidi w:val="0"/>
      </w:pPr>
      <w:r>
        <w:rPr>
          <w:rtl w:val="0"/>
          <w:lang w:val="de"/>
        </w:rPr>
        <w:t>Shamrock Surprise Spielregeln</w:t>
      </w:r>
    </w:p>
    <w:p>
      <w:pPr>
        <w:pStyle w:val="Normal1"/>
        <w:bidi w:val="0"/>
      </w:pPr>
      <w:r>
        <w:rPr>
          <w:rStyle w:val="DefaultParagraphFont"/>
          <w:b/>
          <w:bCs/>
          <w:rtl w:val="0"/>
          <w:lang w:val="de"/>
        </w:rPr>
        <w:t>Shamrock Surprise</w:t>
      </w:r>
      <w:r>
        <w:rPr>
          <w:rtl w:val="0"/>
          <w:lang w:val="de"/>
        </w:rPr>
        <w:t xml:space="preserve"> ist ein Spiel mit 6 Walzen, 4 Reihen und 40 Linien und bietet Multiplikatoren, Frei-Spins mit ansteigendem Multiplikator und einen Link-Bonus.  </w:t>
      </w:r>
    </w:p>
    <w:p>
      <w:pPr>
        <w:pStyle w:val="Normal1"/>
        <w:bidi w:val="0"/>
      </w:pPr>
      <w:r>
        <w:rPr>
          <w:rStyle w:val="Emphasis"/>
          <w:rFonts w:cs="Calibri"/>
          <w:i w:val="0"/>
          <w:iCs w:val="0"/>
          <w:color w:val="242424"/>
          <w:shd w:val="clear" w:color="auto" w:fill="FFFFFF"/>
          <w:rtl w:val="0"/>
          <w:lang w:val="de"/>
        </w:rPr>
        <w:t xml:space="preserve">Die Gewinnlinien werden von links nach rechts auf benachbarten Walzen ausgewertet, beginnend mit der Walze ganz links. </w:t>
      </w:r>
      <w:r>
        <w:rPr>
          <w:rStyle w:val="DefaultParagraphFont"/>
          <w:rFonts w:cs="Calibri"/>
          <w:rtl w:val="0"/>
          <w:lang w:val="de"/>
        </w:rPr>
        <w:t xml:space="preserve">Nur die </w:t>
      </w:r>
      <w:bookmarkStart w:id="0" w:name="_Hlk102050095"/>
      <w:r>
        <w:rPr>
          <w:rtl w:val="0"/>
          <w:lang w:val="de"/>
        </w:rPr>
        <w:t xml:space="preserve">längste übereinstimmende Kombination pro Gewinnlinie wird ausgezahlt.  </w:t>
      </w:r>
      <w:r>
        <w:rPr>
          <w:rStyle w:val="Emphasis"/>
          <w:rFonts w:cs="Calibri"/>
          <w:i w:val="0"/>
          <w:iCs w:val="0"/>
          <w:color w:val="242424"/>
          <w:shd w:val="clear" w:color="auto" w:fill="FFFFFF"/>
          <w:rtl w:val="0"/>
          <w:lang w:val="de"/>
        </w:rPr>
        <w:t xml:space="preserve">Gleichzeitige oder zusammenfallende Gewinne werden addiert.  </w:t>
      </w:r>
      <w:bookmarkEnd w:id="0"/>
    </w:p>
    <w:p>
      <w:pPr>
        <w:pStyle w:val="Normal1"/>
        <w:bidi w:val="0"/>
        <w:rPr>
          <w:rFonts w:cs="Calibri"/>
          <w:color w:val="242424"/>
          <w:shd w:val="clear" w:color="auto" w:fill="FFFFFF"/>
        </w:rPr>
      </w:pPr>
      <w:r>
        <w:rPr>
          <w:rFonts w:cs="Calibri"/>
          <w:color w:val="242424"/>
          <w:shd w:val="clear" w:color="auto" w:fill="FFFFFF"/>
          <w:rtl w:val="0"/>
          <w:lang w:val="de"/>
        </w:rPr>
        <w:t xml:space="preserve">Alle Gewinne werden nur auf Linien erzielt, mit Ausnahme des Bonus-Scatter-Symbols und des Frei-Spin-Scatter-Symbols, die Boni für 3 oder mehr gleiche Scatter-Symbole an beliebiger Stelle vergeben.  </w:t>
      </w:r>
    </w:p>
    <w:p>
      <w:pPr>
        <w:pStyle w:val="Normal1"/>
        <w:keepNext/>
        <w:keepLines/>
        <w:numPr>
          <w:ilvl w:val="1"/>
          <w:numId w:val="1"/>
        </w:numPr>
        <w:tabs>
          <w:tab w:val="left" w:pos="0"/>
          <w:tab w:val="clear" w:pos="720"/>
        </w:tabs>
        <w:bidi w:val="0"/>
        <w:spacing w:before="40" w:after="0" w:line="240" w:lineRule="auto"/>
        <w:ind w:left="0" w:firstLine="0"/>
        <w:outlineLvl w:val="1"/>
        <w:rPr>
          <w:rFonts w:ascii="Calibri Light" w:eastAsia="Times New Roman" w:hAnsi="Calibri Light"/>
          <w:color w:val="2F5496"/>
          <w:sz w:val="26"/>
          <w:szCs w:val="26"/>
        </w:rPr>
      </w:pPr>
      <w:r>
        <w:rPr>
          <w:rFonts w:ascii="Calibri Light" w:eastAsia="Times New Roman" w:hAnsi="Calibri Light"/>
          <w:color w:val="2F5496"/>
          <w:sz w:val="26"/>
          <w:szCs w:val="26"/>
          <w:rtl w:val="0"/>
          <w:lang w:val="de"/>
        </w:rPr>
        <w:t>Hohe Symbol-Multiplikatoren</w:t>
      </w:r>
    </w:p>
    <w:p>
      <w:pPr>
        <w:pStyle w:val="Normal1"/>
        <w:bidi w:val="0"/>
        <w:spacing w:line="240" w:lineRule="auto"/>
      </w:pPr>
      <w:r>
        <w:rPr>
          <w:rtl w:val="0"/>
          <w:lang w:val="de"/>
        </w:rPr>
        <w:t>Wenn eines der drei hohen Symbole in einem Stapel von mindestens 3 vollständigen, benachbarten Spalten oder mehr landet, die zu einem Gewinnenden Spin führen, wird die Multiplikatorfunktion ausgelöst.  Die drei hohen Symbole sind der Kobold, der Goldtopf und die Harfe.  Wenn sie ausgelöst werden, erzeugen die hohen Symbole einen zufälligen Multiplikator auf den aktuellen Gewinn.  Der zufällige Multiplikator hängt von der Anzahl der vollen Stapel ab, die während der Funktion erreicht werden:</w:t>
      </w:r>
    </w:p>
    <w:p>
      <w:pPr>
        <w:pStyle w:val="Normal1"/>
        <w:bidi w:val="0"/>
        <w:spacing w:line="240" w:lineRule="auto"/>
      </w:pPr>
      <w:r>
        <w:rPr>
          <w:rtl w:val="0"/>
          <w:lang w:val="de"/>
        </w:rPr>
        <w:t>Betrag</w:t>
        <w:tab/>
        <w:t>Multiplikator</w:t>
      </w:r>
    </w:p>
    <w:p>
      <w:pPr>
        <w:pStyle w:val="Normal1"/>
        <w:bidi w:val="0"/>
        <w:spacing w:line="240" w:lineRule="auto"/>
      </w:pPr>
      <w:r>
        <w:rPr>
          <w:rtl w:val="0"/>
          <w:lang w:val="de"/>
        </w:rPr>
        <w:t xml:space="preserve">3 Volle Stapel </w:t>
        <w:tab/>
        <w:t>2x – 4x</w:t>
      </w:r>
    </w:p>
    <w:p>
      <w:pPr>
        <w:pStyle w:val="Normal1"/>
        <w:bidi w:val="0"/>
        <w:spacing w:line="240" w:lineRule="auto"/>
      </w:pPr>
      <w:r>
        <w:rPr>
          <w:rtl w:val="0"/>
          <w:lang w:val="de"/>
        </w:rPr>
        <w:t>4 Volle Stapel</w:t>
        <w:tab/>
        <w:t>2x – 5x</w:t>
      </w:r>
    </w:p>
    <w:p>
      <w:pPr>
        <w:pStyle w:val="Normal1"/>
        <w:bidi w:val="0"/>
        <w:spacing w:line="240" w:lineRule="auto"/>
      </w:pPr>
      <w:r>
        <w:rPr>
          <w:rtl w:val="0"/>
          <w:lang w:val="de"/>
        </w:rPr>
        <w:t>5 Volle Stapel</w:t>
        <w:tab/>
        <w:t>2x – 6x</w:t>
      </w:r>
    </w:p>
    <w:p>
      <w:pPr>
        <w:pStyle w:val="Normal1"/>
        <w:bidi w:val="0"/>
        <w:spacing w:line="240" w:lineRule="auto"/>
      </w:pPr>
      <w:r>
        <w:rPr>
          <w:rtl w:val="0"/>
          <w:lang w:val="de"/>
        </w:rPr>
        <w:t xml:space="preserve">6 Volle Stapel </w:t>
        <w:tab/>
        <w:t>2x – 7x</w:t>
      </w:r>
    </w:p>
    <w:p>
      <w:pPr>
        <w:pStyle w:val="Normal1"/>
        <w:bidi w:val="0"/>
        <w:spacing w:line="240" w:lineRule="auto"/>
      </w:pPr>
      <w:r>
        <w:rPr>
          <w:rtl w:val="0"/>
          <w:lang w:val="de"/>
        </w:rPr>
        <w:t>Die Multiplikatoren aus dem Feature werden nur auf die Liniengewinne auf den 40 Linien angewandt und werden nicht auf den Bonus oder die Frei-Spins übertragen.</w:t>
      </w:r>
    </w:p>
    <w:p>
      <w:pPr>
        <w:pStyle w:val="Normal1"/>
        <w:keepNext/>
        <w:keepLines/>
        <w:numPr>
          <w:ilvl w:val="1"/>
          <w:numId w:val="1"/>
        </w:numPr>
        <w:tabs>
          <w:tab w:val="left" w:pos="0"/>
          <w:tab w:val="clear" w:pos="720"/>
        </w:tabs>
        <w:spacing w:before="40" w:after="0" w:line="240" w:lineRule="auto"/>
        <w:ind w:left="0" w:firstLine="0"/>
        <w:outlineLvl w:val="1"/>
        <w:rPr>
          <w:rFonts w:ascii="Calibri Light" w:eastAsia="Times New Roman" w:hAnsi="Calibri Light"/>
          <w:color w:val="2F5496"/>
          <w:sz w:val="26"/>
          <w:szCs w:val="26"/>
        </w:rPr>
      </w:pPr>
    </w:p>
    <w:p>
      <w:pPr>
        <w:pStyle w:val="Normal1"/>
        <w:keepNext/>
        <w:keepLines/>
        <w:numPr>
          <w:ilvl w:val="1"/>
          <w:numId w:val="1"/>
        </w:numPr>
        <w:tabs>
          <w:tab w:val="left" w:pos="0"/>
          <w:tab w:val="clear" w:pos="720"/>
        </w:tabs>
        <w:bidi w:val="0"/>
        <w:spacing w:before="40" w:after="0" w:line="240" w:lineRule="auto"/>
        <w:ind w:left="0" w:firstLine="0"/>
        <w:outlineLvl w:val="1"/>
        <w:rPr>
          <w:rFonts w:ascii="Calibri Light" w:eastAsia="Times New Roman" w:hAnsi="Calibri Light"/>
          <w:color w:val="2F5496"/>
          <w:sz w:val="26"/>
          <w:szCs w:val="26"/>
        </w:rPr>
      </w:pPr>
      <w:r>
        <w:rPr>
          <w:rFonts w:ascii="Calibri Light" w:eastAsia="Times New Roman" w:hAnsi="Calibri Light"/>
          <w:color w:val="2F5496"/>
          <w:sz w:val="26"/>
          <w:szCs w:val="26"/>
          <w:rtl w:val="0"/>
          <w:lang w:val="de"/>
        </w:rPr>
        <w:t>Glückseinsatz – Höhere Multiplikatoren</w:t>
      </w:r>
    </w:p>
    <w:p>
      <w:pPr>
        <w:pStyle w:val="Normal1"/>
        <w:bidi w:val="0"/>
        <w:spacing w:line="240" w:lineRule="auto"/>
      </w:pPr>
      <w:r>
        <w:rPr>
          <w:rtl w:val="0"/>
          <w:lang w:val="de"/>
        </w:rPr>
        <w:t>Zahlen Sie einen zusätzlichen Einsatz von 30 %, um während des Zusatzspiels mehr Kraft durch die hohen Symbole zu aktivieren.  Wenn Sie mit einem vollen hohen Symbolstapel von 3 oder mehr gewinnen, wird das Feature in 100 % der Fälle ausgelöst und die Multiplikatorbereiche werden wie folgt erweitert:</w:t>
      </w:r>
    </w:p>
    <w:p>
      <w:pPr>
        <w:pStyle w:val="Normal1"/>
        <w:bidi w:val="0"/>
        <w:spacing w:line="240" w:lineRule="auto"/>
      </w:pPr>
      <w:r>
        <w:rPr>
          <w:rtl w:val="0"/>
          <w:lang w:val="de"/>
        </w:rPr>
        <w:t>Betrag</w:t>
        <w:tab/>
        <w:t>Multiplikator</w:t>
      </w:r>
    </w:p>
    <w:p>
      <w:pPr>
        <w:pStyle w:val="Normal1"/>
        <w:bidi w:val="0"/>
        <w:spacing w:line="240" w:lineRule="auto"/>
      </w:pPr>
      <w:r>
        <w:rPr>
          <w:rtl w:val="0"/>
          <w:lang w:val="de"/>
        </w:rPr>
        <w:t xml:space="preserve">3 Volle Stapel </w:t>
        <w:tab/>
        <w:t>3x – 6x</w:t>
      </w:r>
    </w:p>
    <w:p>
      <w:pPr>
        <w:pStyle w:val="Normal1"/>
        <w:bidi w:val="0"/>
        <w:spacing w:line="240" w:lineRule="auto"/>
      </w:pPr>
      <w:r>
        <w:rPr>
          <w:rtl w:val="0"/>
          <w:lang w:val="de"/>
        </w:rPr>
        <w:t>4 Volle Stapel</w:t>
        <w:tab/>
        <w:t>3x – 7x</w:t>
      </w:r>
    </w:p>
    <w:p>
      <w:pPr>
        <w:pStyle w:val="Normal1"/>
        <w:bidi w:val="0"/>
        <w:spacing w:line="240" w:lineRule="auto"/>
      </w:pPr>
      <w:r>
        <w:rPr>
          <w:rtl w:val="0"/>
          <w:lang w:val="de"/>
        </w:rPr>
        <w:t>5 Volle Stapel</w:t>
        <w:tab/>
        <w:t>3x – 8x</w:t>
      </w:r>
    </w:p>
    <w:p>
      <w:pPr>
        <w:pStyle w:val="Normal1"/>
        <w:bidi w:val="0"/>
        <w:spacing w:line="240" w:lineRule="auto"/>
      </w:pPr>
      <w:r>
        <w:rPr>
          <w:rtl w:val="0"/>
          <w:lang w:val="de"/>
        </w:rPr>
        <w:t xml:space="preserve">6 Volle Stapel </w:t>
        <w:tab/>
        <w:t>3x – 9x</w:t>
      </w:r>
    </w:p>
    <w:p>
      <w:pPr>
        <w:pStyle w:val="Normal1"/>
        <w:bidi w:val="0"/>
        <w:spacing w:line="240" w:lineRule="auto"/>
      </w:pPr>
      <w:r>
        <w:rPr>
          <w:rtl w:val="0"/>
          <w:lang w:val="de"/>
        </w:rPr>
        <w:t>Die Multiplikatoren aus dem Feature werden nur auf die Liniengewinne auf den 40 Linien angewandt und werden nicht auf den Bonus oder die Frei-Spins übertragen.  Der Glückseinsatz ist möglicherweise nicht auf allen Märkten verfügbar.</w:t>
      </w:r>
    </w:p>
    <w:p>
      <w:pPr>
        <w:pStyle w:val="Normal1"/>
        <w:spacing w:line="240" w:lineRule="auto"/>
      </w:pPr>
    </w:p>
    <w:p>
      <w:pPr>
        <w:pStyle w:val="Heading2"/>
        <w:tabs>
          <w:tab w:val="left" w:pos="0"/>
          <w:tab w:val="clear" w:pos="720"/>
        </w:tabs>
        <w:bidi w:val="0"/>
        <w:ind w:left="0" w:firstLine="0"/>
      </w:pPr>
      <w:r>
        <w:rPr>
          <w:rtl w:val="0"/>
          <w:lang w:val="de"/>
        </w:rPr>
        <w:t>Link-Bonus</w:t>
      </w:r>
    </w:p>
    <w:p>
      <w:pPr>
        <w:pStyle w:val="Normal1"/>
        <w:bidi w:val="0"/>
      </w:pPr>
      <w:r>
        <w:rPr>
          <w:rtl w:val="0"/>
          <w:lang w:val="de"/>
        </w:rPr>
        <w:t>Erzielen Sie 4 oder mehr Bonusscatters in beliebiger Position auf den Walzen, um den Link-Bonus auszulösen. Es gibt keinen festen Preis für die Auslösung des Bonus, aber alle auslösenden Bonus-Scatter-Symbole zeigen zufällige Guthaben an oder ändern ihre Farbe, um einen entsprechenden Preispot-Farbgewinn zu zeigen.  Alle anderen Symbole verschwinden, und der Bonus beginnt mit 3 anfänglichen Respins auf den verbleibenden Walzen.  Die Anzahl der verbleibenden Respins wird jedes Mal auf 3 zurückgesetzt, wenn mindestens ein weiteres Bonus-Scatter-Symbol erscheint.  Jedes zusätzliche Scatter-Symbol, das auf dem Spielfeld landet, bringt entweder Guthaben zum Vorschein oder wechselt die Farbe, um einen Gewinn in der entsprechenden Farbe des Gewinntopfes aufzudecken.</w:t>
      </w:r>
    </w:p>
    <w:p>
      <w:pPr>
        <w:pStyle w:val="Normal1"/>
        <w:bidi w:val="0"/>
      </w:pPr>
      <w:r>
        <w:rPr>
          <w:rtl w:val="0"/>
          <w:lang w:val="de"/>
        </w:rPr>
        <w:t>Die Preise für jedes Shamrock-Symbol umfassen</w:t>
      </w:r>
    </w:p>
    <w:p>
      <w:pPr>
        <w:pStyle w:val="Normal1"/>
        <w:bidi w:val="0"/>
      </w:pPr>
      <w:r>
        <w:rPr>
          <w:rtl w:val="0"/>
          <w:lang w:val="de"/>
        </w:rPr>
        <w:t>Zufälliger Gutschriftbetrag 1 – 10x</w:t>
      </w:r>
    </w:p>
    <w:p>
      <w:pPr>
        <w:pStyle w:val="Normal1"/>
        <w:bidi w:val="0"/>
      </w:pPr>
      <w:r>
        <w:rPr>
          <w:rtl w:val="0"/>
          <w:lang w:val="de"/>
        </w:rPr>
        <w:t>Mini Preistopf</w:t>
        <w:tab/>
        <w:t>20x</w:t>
      </w:r>
    </w:p>
    <w:p>
      <w:pPr>
        <w:pStyle w:val="Normal1"/>
        <w:bidi w:val="0"/>
      </w:pPr>
      <w:r>
        <w:rPr>
          <w:rtl w:val="0"/>
          <w:lang w:val="de"/>
        </w:rPr>
        <w:t>Kleiner Preistopf</w:t>
        <w:tab/>
        <w:t>50x</w:t>
      </w:r>
    </w:p>
    <w:p>
      <w:pPr>
        <w:pStyle w:val="Normal1"/>
        <w:bidi w:val="0"/>
      </w:pPr>
      <w:r>
        <w:rPr>
          <w:rtl w:val="0"/>
          <w:lang w:val="de"/>
        </w:rPr>
        <w:t>Großer Preistopf</w:t>
        <w:tab/>
        <w:t>100x</w:t>
      </w:r>
    </w:p>
    <w:p>
      <w:pPr>
        <w:pStyle w:val="Normal1"/>
        <w:bidi w:val="0"/>
      </w:pPr>
      <w:r>
        <w:rPr>
          <w:rtl w:val="0"/>
          <w:lang w:val="de"/>
        </w:rPr>
        <w:t>Die Frei-Spins enden, wenn es keine weiteren Respins mehr gibt oder wenn alle 24 Positionen besetzt sind.  Wenn alle 24 Positionen besetzt sind, gibt es 1.000x zusätzlich zu den anderen Preisen, die während des Bonus gesammelt werden.  Alle Preistöpfe können mehr als ein Mal vergeben werden. Der 1.000x Preis wird nur einmal vergeben, wenn alle 24 Plätze besetzt sind.</w:t>
      </w:r>
    </w:p>
    <w:p>
      <w:pPr>
        <w:pStyle w:val="Heading2"/>
        <w:tabs>
          <w:tab w:val="left" w:pos="0"/>
          <w:tab w:val="clear" w:pos="720"/>
        </w:tabs>
        <w:bidi w:val="0"/>
        <w:ind w:left="0" w:firstLine="0"/>
        <w:rPr>
          <w:lang w:val="en-US"/>
        </w:rPr>
      </w:pPr>
      <w:r>
        <w:rPr>
          <w:rtl w:val="0"/>
          <w:lang w:val="de"/>
        </w:rPr>
        <w:t>Frei-Spins</w:t>
      </w:r>
    </w:p>
    <w:p>
      <w:pPr>
        <w:pStyle w:val="Normal1"/>
        <w:bidi w:val="0"/>
      </w:pPr>
      <w:r>
        <w:rPr>
          <w:rStyle w:val="DefaultParagraphFont"/>
          <w:rtl w:val="0"/>
          <w:lang w:val="de"/>
        </w:rPr>
        <w:t xml:space="preserve">Erzielen Sie 3 Frei-Spin-Scatter-Symbole, um den Frei-Spin-Bonus auszulösen. 5 Frei-Spins werden vergeben, wenn bei jedem Spins extrem lange Stapel der drei hohen Symbole auf den Walzen erscheinen.  Wenn 3 oder mehr volle Stapel mit einem Gewinnsymbol landen, wird das oben beschriebene Feature immer ausgelöst und der Multiplikator, der bei jedem Spin vergeben wird, bleibt während der gesamten Frei-Spins bestehen.  Der Multiplikator sammelt sich während des Features an und wird nach dem Ende der Frei-Spins zurückgesetzt.  Der Glückseinsatz hat während der Frei-Spins keine Wirkung.  </w:t>
      </w:r>
      <w:r>
        <w:rPr>
          <w:rStyle w:val="DefaultParagraphFont"/>
          <w:rFonts w:cs="Calibri"/>
          <w:color w:val="242424"/>
          <w:shd w:val="clear" w:color="auto" w:fill="FFFFFF"/>
          <w:rtl w:val="0"/>
          <w:lang w:val="de"/>
        </w:rPr>
        <w:t>Für Scatter-Symbole in Frei-Spins gibt es keine Auszahlungen.</w:t>
      </w:r>
      <w:r>
        <w:rPr>
          <w:rStyle w:val="DefaultParagraphFont"/>
          <w:rtl w:val="0"/>
          <w:lang w:val="de"/>
        </w:rPr>
        <w:t xml:space="preserve">  Die Frei-Spins können nicht erneut ausgelöst werden.  Die Auszahlung von Frei-Spins erfolgt entsprechend dem Einsatzbetrag vor dem Eintritt in die Frei-Spins.  </w:t>
      </w:r>
    </w:p>
    <w:p>
      <w:pPr>
        <w:pStyle w:val="Normal1"/>
        <w:bidi w:val="0"/>
      </w:pPr>
      <w:r>
        <w:rPr>
          <w:rStyle w:val="DefaultParagraphFont"/>
          <w:rFonts w:cs="Calibri"/>
          <w:color w:val="242424"/>
          <w:shd w:val="clear" w:color="auto" w:fill="FFFFFF"/>
          <w:rtl w:val="0"/>
          <w:lang w:val="de"/>
        </w:rPr>
        <w:t>Es ist nicht möglich, den Link-Bonus und die Frei-Spins im selben Spiel auszulösen.</w:t>
      </w:r>
    </w:p>
    <w:p>
      <w:pPr>
        <w:pStyle w:val="Normal1"/>
        <w:rPr>
          <w:lang w:val="en-US"/>
        </w:rPr>
      </w:pPr>
    </w:p>
    <w:p>
      <w:pPr>
        <w:pStyle w:val="Heading2"/>
        <w:tabs>
          <w:tab w:val="left" w:pos="0"/>
          <w:tab w:val="clear" w:pos="720"/>
        </w:tabs>
        <w:bidi w:val="0"/>
        <w:ind w:left="0" w:firstLine="0"/>
      </w:pPr>
      <w:r>
        <w:rPr>
          <w:rtl w:val="0"/>
          <w:lang w:val="de"/>
        </w:rPr>
        <w:t>Bonus kaufen</w:t>
      </w:r>
    </w:p>
    <w:p>
      <w:pPr>
        <w:pStyle w:val="Normal1"/>
        <w:bidi w:val="0"/>
      </w:pPr>
      <w:r>
        <w:rPr>
          <w:rtl w:val="0"/>
          <w:lang w:val="de"/>
        </w:rPr>
        <w:t xml:space="preserve">Drücke auf die Schaltfläche „Bonus Kaufen“, um den Bildschirm zur Bestätigung des Bonuskaufs aufzurufen.  Wenn Sie den Bestätigungsbildschirm für den Bonuskauf aufrufen, wird der Glückseinsatz automatisch deaktiviert, und der Standardeinsatz zeigt den aktuell gesetzten Betrag an, ohne dass ein zusätzlicher Einsatz durch einen Glückseinsatz erforderlich ist.   Wählen Sie den Einsatz für den Bonus und klicken Sie auf „Kaufen“, um den Einsatz zu bestätigen und automatisch in den Link-Bonus zu gelangen.  </w:t>
      </w:r>
      <w:r>
        <w:rPr>
          <w:rStyle w:val="DefaultParagraphFont"/>
          <w:rFonts w:cs="Calibri"/>
          <w:color w:val="242424"/>
          <w:shd w:val="clear" w:color="auto" w:fill="FFFFFF"/>
          <w:rtl w:val="0"/>
          <w:lang w:val="de"/>
        </w:rPr>
        <w:t>Die Kauffunktion ist möglicherweise nicht auf allen Märkten verfügbar.</w:t>
      </w:r>
    </w:p>
    <w:p>
      <w:pPr>
        <w:pStyle w:val="Normal1"/>
        <w:rPr>
          <w:lang w:val="en-US"/>
        </w:rPr>
      </w:pPr>
    </w:p>
    <w:p>
      <w:pPr>
        <w:pStyle w:val="Heading2"/>
        <w:tabs>
          <w:tab w:val="left" w:pos="0"/>
          <w:tab w:val="clear" w:pos="720"/>
        </w:tabs>
        <w:bidi w:val="0"/>
        <w:ind w:left="0" w:firstLine="0"/>
      </w:pPr>
      <w:r>
        <w:rPr>
          <w:rtl w:val="0"/>
          <w:lang w:val="de"/>
        </w:rPr>
        <w:t>Spiel RTP</w:t>
      </w:r>
    </w:p>
    <w:p>
      <w:pPr>
        <w:pStyle w:val="Normal1"/>
        <w:bidi w:val="0"/>
      </w:pPr>
      <w:r>
        <w:rPr>
          <w:rtl w:val="0"/>
          <w:lang w:val="de"/>
        </w:rPr>
        <w:t>Das reguläre Spiel hat eine theoretische RTP von 93,99 % ohne den Glückseinsatz.  Bei Verwendung des Glückseinsatzes hat das Spiel eine theoretische RTP von 94,19 %.  Bei Verwendung des Bonuskaufs hat das Spiel eine theoretische RTP von 93,78 %.</w:t>
      </w:r>
    </w:p>
    <w:p>
      <w:pPr>
        <w:pStyle w:val="Normal1"/>
      </w:pPr>
    </w:p>
    <w:sectPr>
      <w:type w:val="nextPage"/>
      <w:pgSz w:w="11906" w:h="16838"/>
      <w:pgMar w:top="1440" w:right="1440" w:bottom="1440" w:left="1440" w:header="0" w:footer="0" w:gutter="0"/>
      <w:pgNumType w:fmt="decimal"/>
      <w:cols w:space="708"/>
      <w:formProt w:val="0"/>
      <w:textDirection w:val="lrTb"/>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Calibri Light">
    <w:charset w:val="CC"/>
    <w:family w:val="swiss"/>
    <w:pitch w:val="variable"/>
  </w:font>
  <w:font w:name="Liberation Sans">
    <w:altName w:val="Arial"/>
    <w:charset w:val="CC"/>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D95D895"/>
    <w:multiLevelType w:val="hybridMultilevel"/>
    <w:tmpl w:val="00000000"/>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widowControl/>
        <w:suppressAutoHyphens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val="0"/>
      <w:keepLines w:val="0"/>
      <w:pageBreakBefore w:val="0"/>
      <w:widowControl/>
      <w:shd w:val="clear" w:color="auto" w:fill="auto"/>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character" w:default="1" w:styleId="DefaultParagraphFont">
    <w:name w:val="Default Paragraph Font"/>
    <w:qFormat/>
  </w:style>
  <w:style w:type="paragraph" w:customStyle="1" w:styleId="Heading1">
    <w:name w:val="Heading 1"/>
    <w:basedOn w:val="Normal1"/>
    <w:next w:val="Normal1"/>
    <w:qFormat/>
    <w:pPr>
      <w:keepNext/>
      <w:keepLines/>
      <w:numPr>
        <w:ilvl w:val="0"/>
        <w:numId w:val="1"/>
      </w:numPr>
      <w:suppressAutoHyphens/>
      <w:spacing w:before="240" w:after="0"/>
      <w:outlineLvl w:val="0"/>
    </w:pPr>
    <w:rPr>
      <w:rFonts w:ascii="Calibri Light" w:eastAsia="Times New Roman" w:hAnsi="Calibri Light"/>
      <w:color w:val="2F5496"/>
      <w:sz w:val="32"/>
      <w:szCs w:val="32"/>
    </w:rPr>
  </w:style>
  <w:style w:type="paragraph" w:customStyle="1" w:styleId="Heading2">
    <w:name w:val="Heading 2"/>
    <w:basedOn w:val="Normal1"/>
    <w:next w:val="Normal1"/>
    <w:qFormat/>
    <w:pPr>
      <w:keepNext/>
      <w:keepLines/>
      <w:numPr>
        <w:ilvl w:val="1"/>
        <w:numId w:val="1"/>
      </w:numPr>
      <w:suppressAutoHyphens/>
      <w:spacing w:before="40" w:after="0"/>
      <w:outlineLvl w:val="1"/>
    </w:pPr>
    <w:rPr>
      <w:rFonts w:ascii="Calibri Light" w:eastAsia="Times New Roman" w:hAnsi="Calibri Light"/>
      <w:color w:val="2F5496"/>
      <w:sz w:val="26"/>
      <w:szCs w:val="26"/>
    </w:rPr>
  </w:style>
  <w:style w:type="character" w:customStyle="1" w:styleId="Heading2Char">
    <w:name w:val="Heading 2 Char"/>
    <w:basedOn w:val="DefaultParagraphFont"/>
    <w:qFormat/>
    <w:rPr>
      <w:rFonts w:ascii="Calibri Light" w:eastAsia="Times New Roman" w:hAnsi="Calibri Light" w:cs="Times New Roman"/>
      <w:color w:val="2F5496"/>
      <w:sz w:val="26"/>
      <w:szCs w:val="26"/>
    </w:rPr>
  </w:style>
  <w:style w:type="character" w:styleId="Emphasis">
    <w:name w:val="Emphasis"/>
    <w:basedOn w:val="DefaultParagraphFont"/>
    <w:qFormat/>
    <w:rPr>
      <w:i/>
      <w:iCs/>
    </w:rPr>
  </w:style>
  <w:style w:type="character" w:customStyle="1" w:styleId="Heading1Char">
    <w:name w:val="Heading 1 Char"/>
    <w:basedOn w:val="DefaultParagraphFont"/>
    <w:qFormat/>
    <w:rPr>
      <w:rFonts w:ascii="Calibri Light" w:eastAsia="Times New Roman" w:hAnsi="Calibri Light" w:cs="Times New Roman"/>
      <w:color w:val="2F5496"/>
      <w:sz w:val="32"/>
      <w:szCs w:val="32"/>
    </w:rPr>
  </w:style>
  <w:style w:type="paragraph" w:customStyle="1" w:styleId="a">
    <w:name w:val="Заголовок"/>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before="0" w:after="140" w:line="276" w:lineRule="auto"/>
    </w:pPr>
  </w:style>
  <w:style w:type="paragraph" w:customStyle="1" w:styleId="Normal1">
    <w:name w:val="Normal1"/>
    <w:qFormat/>
    <w:pPr>
      <w:keepNext w:val="0"/>
      <w:keepLines w:val="0"/>
      <w:pageBreakBefore w:val="0"/>
      <w:widowControl/>
      <w:shd w:val="clear" w:color="auto" w:fill="auto"/>
      <w:suppressAutoHyphens/>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styles" Target="styles.xml"/><Relationship Id="rId5" Type="http://schemas.openxmlformats.org/officeDocument/2006/relationships/numbering" Target="numbering.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03fc58d536acbc0900eb2368dde504cc">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a19fa0bb6808b4b12e597aff52e2f813"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2EC0ACE0-C6B8-4E8B-A521-BB62D9590312}"/>
</file>

<file path=customXml/itemProps2.xml><?xml version="1.0" encoding="utf-8"?>
<ds:datastoreItem xmlns:ds="http://schemas.openxmlformats.org/officeDocument/2006/customXml" ds:itemID="{05F4BBDD-4716-4213-B450-A39129480C86}"/>
</file>

<file path=customXml/itemProps3.xml><?xml version="1.0" encoding="utf-8"?>
<ds:datastoreItem xmlns:ds="http://schemas.openxmlformats.org/officeDocument/2006/customXml" ds:itemID="{7DAF00A9-16CF-45E2-A75C-A23DEBA5050E}"/>
</file>

<file path=docProps/app.xml><?xml version="1.0" encoding="utf-8"?>
<Properties xmlns="http://schemas.openxmlformats.org/officeDocument/2006/extended-properties" xmlns:vt="http://schemas.openxmlformats.org/officeDocument/2006/docPropsVTypes">
  <TotalTime>0</TotalTime>
  <Pages>1</Pages>
  <Words>638</Words>
  <Characters>3642</Characters>
  <Application>Microsoft Office Word</Application>
  <DocSecurity>0</DocSecurity>
  <Lines>0</Lines>
  <Paragraphs>8</Paragraphs>
  <ScaleCrop>false</ScaleCrop>
  <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2024-01-19T10:53:00Z</dcterms:created>
  <dc:creator>David Stoveld</dc:creator>
  <dc:description/>
  <dc:language>uk-UA</dc:language>
  <cp:lastModifiedBy>Tetiana Lytvynenko</cp:lastModifiedBy>
  <dcterms:modified xsi:type="dcterms:W3CDTF">2024-01-19T10:53:00Z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ActionId">
    <vt:lpwstr>25f20a26-a704-4c88-a82c-bf8c8984ff54</vt:lpwstr>
  </property>
  <property fmtid="{D5CDD505-2E9C-101B-9397-08002B2CF9AE}" pid="3" name="MSIP_Label_c50e751f-a0b2-413d-995d-abe80fb38978_ContentBits">
    <vt:lpwstr>0</vt:lpwstr>
  </property>
  <property fmtid="{D5CDD505-2E9C-101B-9397-08002B2CF9AE}" pid="4" name="MSIP_Label_c50e751f-a0b2-413d-995d-abe80fb38978_Enabled">
    <vt:lpwstr>true</vt:lpwstr>
  </property>
  <property fmtid="{D5CDD505-2E9C-101B-9397-08002B2CF9AE}" pid="5" name="MSIP_Label_c50e751f-a0b2-413d-995d-abe80fb38978_Method">
    <vt:lpwstr>Standard</vt:lpwstr>
  </property>
  <property fmtid="{D5CDD505-2E9C-101B-9397-08002B2CF9AE}" pid="6" name="MSIP_Label_c50e751f-a0b2-413d-995d-abe80fb38978_Name">
    <vt:lpwstr>c50e751f-a0b2-413d-995d-abe80fb38978</vt:lpwstr>
  </property>
  <property fmtid="{D5CDD505-2E9C-101B-9397-08002B2CF9AE}" pid="7" name="MSIP_Label_c50e751f-a0b2-413d-995d-abe80fb38978_SetDate">
    <vt:lpwstr>2022-04-01T16:15:53Z</vt:lpwstr>
  </property>
  <property fmtid="{D5CDD505-2E9C-101B-9397-08002B2CF9AE}" pid="8" name="MSIP_Label_c50e751f-a0b2-413d-995d-abe80fb38978_SiteId">
    <vt:lpwstr>7d2ba175-3f46-48a8-aaba-30563a31b927</vt:lpwstr>
  </property>
  <property fmtid="{D5CDD505-2E9C-101B-9397-08002B2CF9AE}" pid="9" name="ContentTypeId">
    <vt:lpwstr>0x0101004DE19DEE23B9884E92D82BCF69B845EF</vt:lpwstr>
  </property>
</Properties>
</file>