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</w:pPr>
      <w:r>
        <w:rPr>
          <w:rtl w:val="0"/>
          <w:lang w:val="it"/>
        </w:rPr>
        <w:t xml:space="preserve">Gummy Galaxy è una videoslot 3x5 con 10 linee di pagamento che pagano da sinistra a destra o da destra a sinistra, oppure al centro, e con funzioni che moltiplicano i simboli wild, i quali possono apparire solo su tre dei cinque rulli. </w:t>
      </w:r>
    </w:p>
    <w:p>
      <w:pPr>
        <w:pStyle w:val="Normal1"/>
        <w:bidi w:val="0"/>
      </w:pPr>
      <w:r>
        <w:rPr>
          <w:rtl w:val="0"/>
          <w:lang w:val="it"/>
        </w:rPr>
        <w:t xml:space="preserve">I rulli hanno 9 simboli, 8 classici più il simbolo wild. </w:t>
      </w:r>
    </w:p>
    <w:p>
      <w:pPr>
        <w:pStyle w:val="Normal1"/>
        <w:bidi w:val="0"/>
      </w:pPr>
      <w:r>
        <w:rPr>
          <w:rtl w:val="0"/>
          <w:lang w:val="it"/>
        </w:rPr>
        <w:t xml:space="preserve">Il giocatore viene pagato quando ottiene combinazioni di 3 o più simboli disposti su rulli vicini. </w:t>
      </w:r>
    </w:p>
    <w:p>
      <w:pPr>
        <w:pStyle w:val="Normal1"/>
        <w:bidi w:val="0"/>
      </w:pPr>
      <w:r>
        <w:rPr>
          <w:rtl w:val="0"/>
          <w:lang w:val="it"/>
        </w:rPr>
        <w:t xml:space="preserve">Ogni linea di pagamento viene letta e pagata da sinistra a destra o da destra a sinistra, oppure al centro dei rulli, a seconda di quale di questi determini la vittoria maggiore. </w:t>
      </w:r>
    </w:p>
    <w:p>
      <w:pPr>
        <w:pStyle w:val="Normal1"/>
        <w:bidi w:val="0"/>
      </w:pPr>
      <w:r>
        <w:rPr>
          <w:rtl w:val="0"/>
          <w:lang w:val="it"/>
        </w:rPr>
        <w:t xml:space="preserve">Per ogni linea vincente vengono pagate solo le combinazioni più alte. </w:t>
      </w:r>
    </w:p>
    <w:p>
      <w:pPr>
        <w:pStyle w:val="Normal1"/>
        <w:bidi w:val="0"/>
      </w:pPr>
      <w:r>
        <w:rPr>
          <w:rtl w:val="0"/>
          <w:lang w:val="it"/>
        </w:rPr>
        <w:t xml:space="preserve">Le vincite simultanee su diverse linee di pagamento si sommano e vengono pagate insieme.  </w:t>
      </w:r>
    </w:p>
    <w:p>
      <w:pPr>
        <w:pStyle w:val="Normal1"/>
        <w:bidi w:val="0"/>
      </w:pPr>
      <w:r>
        <w:rPr>
          <w:rtl w:val="0"/>
          <w:lang w:val="it"/>
        </w:rPr>
        <w:t>Le partite e le vincite si basano sulla puntata totale.</w:t>
      </w:r>
    </w:p>
    <w:p>
      <w:pPr>
        <w:pStyle w:val="Normal1"/>
        <w:bidi w:val="0"/>
      </w:pPr>
      <w:r>
        <w:rPr>
          <w:rtl w:val="0"/>
          <w:lang w:val="it"/>
        </w:rPr>
        <w:t>Le vincite effettive sono costituite dalla somma dei valori corrispondenti ad ogni linea vinta ed indicati nella tabella dei pagamenti dinamica.</w:t>
      </w:r>
    </w:p>
    <w:p>
      <w:pPr>
        <w:pStyle w:val="Normal1"/>
        <w:bidi w:val="0"/>
      </w:pPr>
      <w:r>
        <w:rPr>
          <w:rtl w:val="0"/>
          <w:lang w:val="it"/>
        </w:rPr>
        <w:t>Il gioco comprende 10 linee di pagamento fisse.</w:t>
      </w:r>
    </w:p>
    <w:p>
      <w:pPr>
        <w:pStyle w:val="Normal1"/>
        <w:bidi w:val="0"/>
      </w:pPr>
      <w:r>
        <w:rPr>
          <w:rtl w:val="0"/>
          <w:lang w:val="it"/>
        </w:rPr>
        <w:t xml:space="preserve">Il livello di puntata viene stabilito utilizzando il selettore LIVELLO DI PUNTATA. </w:t>
      </w:r>
    </w:p>
    <w:p>
      <w:pPr>
        <w:pStyle w:val="Normal1"/>
        <w:bidi w:val="0"/>
      </w:pPr>
      <w:r>
        <w:rPr>
          <w:rtl w:val="0"/>
          <w:lang w:val="it"/>
        </w:rPr>
        <w:t xml:space="preserve">LA RIPRODUZIONE AUTOMATICA consente di giocare automaticamente la partita per il numero di giri selezionato.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it"/>
        </w:rPr>
        <w:t xml:space="preserve">CARATTERISTICHE DEL GIOCO </w:t>
      </w:r>
    </w:p>
    <w:p>
      <w:pPr>
        <w:pStyle w:val="Normal1"/>
        <w:bidi w:val="0"/>
      </w:pPr>
      <w:r>
        <w:rPr>
          <w:rtl w:val="0"/>
          <w:lang w:val="it"/>
        </w:rPr>
        <w:t xml:space="preserve">Moltiplicatore di Wilds </w:t>
      </w:r>
    </w:p>
    <w:p>
      <w:pPr>
        <w:pStyle w:val="Normal1"/>
        <w:bidi w:val="0"/>
      </w:pPr>
      <w:r>
        <w:rPr>
          <w:rtl w:val="0"/>
          <w:lang w:val="it"/>
        </w:rPr>
        <w:t xml:space="preserve">Il simbolo wild appare sui rulli 1, 3 e 5. </w:t>
      </w:r>
    </w:p>
    <w:p>
      <w:pPr>
        <w:pStyle w:val="Normal1"/>
        <w:bidi w:val="0"/>
      </w:pPr>
      <w:r>
        <w:rPr>
          <w:rtl w:val="0"/>
          <w:lang w:val="it"/>
        </w:rPr>
        <w:t xml:space="preserve">Il simbolo Wild sostituisce qualunque simbolo per generare la più alta vincita possibile in una linea di pagamento. </w:t>
      </w:r>
    </w:p>
    <w:p>
      <w:pPr>
        <w:pStyle w:val="Normal1"/>
        <w:bidi w:val="0"/>
      </w:pPr>
      <w:r>
        <w:rPr>
          <w:rtl w:val="0"/>
          <w:lang w:val="it"/>
        </w:rPr>
        <w:t xml:space="preserve">Quando compare sui rulli il simbolo Wild si trasforma in un moltiplicatore di wild x2, x3 or x7. </w:t>
      </w:r>
    </w:p>
    <w:p>
      <w:pPr>
        <w:pStyle w:val="Normal1"/>
        <w:bidi w:val="0"/>
      </w:pPr>
      <w:r>
        <w:rPr>
          <w:rtl w:val="0"/>
          <w:lang w:val="it"/>
        </w:rPr>
        <w:t xml:space="preserve">Le vincite che contengono, in sostituzione di un altro, lo stesso simbolo Wild Sun Gold vengono moltiplicate con il moltiplicatore corrispondente. </w:t>
      </w:r>
    </w:p>
    <w:p>
      <w:pPr>
        <w:pStyle w:val="Normal1"/>
        <w:bidi w:val="0"/>
      </w:pPr>
      <w:r>
        <w:rPr>
          <w:rtl w:val="0"/>
          <w:lang w:val="it"/>
        </w:rPr>
        <w:t xml:space="preserve">Le vincite che contengono lo stesso simbolo Wild su linee di pagamento differenti hanno lo stesso moltiplicatore.  </w:t>
      </w:r>
    </w:p>
    <w:p>
      <w:pPr>
        <w:pStyle w:val="Normal1"/>
        <w:bidi w:val="0"/>
      </w:pPr>
      <w:r>
        <w:rPr>
          <w:rtl w:val="0"/>
          <w:lang w:val="it"/>
        </w:rPr>
        <w:t xml:space="preserve">Nel caso in cui una vincita contenga più di un moltiplicatore, questi ultimi vengono sommati insieme. 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it"/>
        </w:rPr>
        <w:t>RTP</w:t>
      </w:r>
    </w:p>
    <w:p>
      <w:pPr>
        <w:pStyle w:val="Normal1"/>
        <w:bidi w:val="0"/>
      </w:pPr>
      <w:r>
        <w:rPr>
          <w:rtl w:val="0"/>
          <w:lang w:val="it"/>
        </w:rPr>
        <w:t xml:space="preserve">La percentuale teorica di ritorno su 1 miliardo di partite simulate è del 96,15% </w:t>
      </w:r>
    </w:p>
    <w:p>
      <w:pPr>
        <w:pStyle w:val="Normal1"/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2"/>
        <w:sz w:val="22"/>
        <w:szCs w:val="22"/>
        <w:lang w:val="en-GB" w:eastAsia="en-US" w:bidi="ar-SA"/>
      </w:rPr>
    </w:rPrDefault>
    <w:pPrDefault>
      <w:pPr>
        <w:widowControl/>
        <w:suppressAutoHyphens w:val="0"/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E6A154C2-9971-4C32-A6AF-383DBD6CA00D}"/>
</file>

<file path=customXml/itemProps2.xml><?xml version="1.0" encoding="utf-8"?>
<ds:datastoreItem xmlns:ds="http://schemas.openxmlformats.org/officeDocument/2006/customXml" ds:itemID="{666F9132-305A-4438-972D-8351C48F29AF}"/>
</file>

<file path=customXml/itemProps3.xml><?xml version="1.0" encoding="utf-8"?>
<ds:datastoreItem xmlns:ds="http://schemas.openxmlformats.org/officeDocument/2006/customXml" ds:itemID="{BC821461-8B8C-4BA5-8B4B-4E97F18D7F68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2023-11-09T23:48:00Z</dcterms:created>
  <dc:creator>David Stoveld</dc:creator>
  <dc:description/>
  <dc:language>uk-UA</dc:language>
  <cp:lastModifiedBy>David Stoveld</cp:lastModifiedBy>
  <dcterms:modified xsi:type="dcterms:W3CDTF">2023-11-09T23:48:00Z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2cecf717-f35b-4ae9-8d1e-9c29bbf1cb83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2023-09-27T16:34:41Z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