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el"/>
        </w:rPr>
        <w:t xml:space="preserve">Το Gummy Galaxy είναι ένα βίντεο σλοτ 5x3, 10 γραμμών πληρωμής που πληρώνει από αριστερά προς τα δεξιά, από δεξιά προς τα αριστερά ή στη μέση, και διαθέτει πολλαπλασιασμό Wilds που μπορούν να στοιβάζονται σε τρεις από τους πέντε τροχούς. </w:t>
      </w:r>
    </w:p>
    <w:p>
      <w:pPr>
        <w:pStyle w:val="Normal1"/>
        <w:bidi w:val="0"/>
      </w:pPr>
      <w:r>
        <w:rPr>
          <w:rtl w:val="0"/>
          <w:lang w:val="el"/>
        </w:rPr>
        <w:t xml:space="preserve">Οι τροχοί έχουν 9 σύμβολα, 8 κανονικά σύμβολα και το σύμβολο Wild. </w:t>
      </w:r>
    </w:p>
    <w:p>
      <w:pPr>
        <w:pStyle w:val="Normal1"/>
        <w:bidi w:val="0"/>
      </w:pPr>
      <w:r>
        <w:rPr>
          <w:rtl w:val="0"/>
          <w:lang w:val="el"/>
        </w:rPr>
        <w:t xml:space="preserve">Ο παίκτης πληρώνεται σε συμπτωσεις 3 ή περισσότερων συμβόλων που προσγειώνονται σε διπλανούς τροχούς. </w:t>
      </w:r>
    </w:p>
    <w:p>
      <w:pPr>
        <w:pStyle w:val="Normal1"/>
        <w:bidi w:val="0"/>
      </w:pPr>
      <w:r>
        <w:rPr>
          <w:rtl w:val="0"/>
          <w:lang w:val="el"/>
        </w:rPr>
        <w:t xml:space="preserve">Κάθε γραμμή πληρωμής αξιολογείται και πληρώνεται από αριστερά προς τα δεξιά ή από δεξιά προς τα αριστερά ή στη μέση των τροχών ανάλογα με το ποιος από αυτούς παρέχει τη μεγαλύτερη δυνατή πληρωμή. </w:t>
      </w:r>
    </w:p>
    <w:p>
      <w:pPr>
        <w:pStyle w:val="Normal1"/>
        <w:bidi w:val="0"/>
      </w:pPr>
      <w:r>
        <w:rPr>
          <w:rtl w:val="0"/>
          <w:lang w:val="el"/>
        </w:rPr>
        <w:t xml:space="preserve">Πληρώνονται μόνο οι υψηλότεροι συνδυασμοί που ταιριάζουν ανά γραμμή που κερδίζει. </w:t>
      </w:r>
    </w:p>
    <w:p>
      <w:pPr>
        <w:pStyle w:val="Normal1"/>
        <w:bidi w:val="0"/>
      </w:pPr>
      <w:r>
        <w:rPr>
          <w:rtl w:val="0"/>
          <w:lang w:val="el"/>
        </w:rPr>
        <w:t xml:space="preserve">Προστίθενται και πληρώνονται παράλληλες ή ταυτόχρονες νίκες σε διαφορετικές γραμμές πληρωμής.  </w:t>
      </w:r>
    </w:p>
    <w:p>
      <w:pPr>
        <w:pStyle w:val="Normal1"/>
        <w:bidi w:val="0"/>
      </w:pPr>
      <w:r>
        <w:rPr>
          <w:rtl w:val="0"/>
          <w:lang w:val="el"/>
        </w:rPr>
        <w:t>Το παιχνίδι πληρώνει και παίζει στο συνολικό στοίχημα.</w:t>
      </w:r>
    </w:p>
    <w:p>
      <w:pPr>
        <w:pStyle w:val="Normal1"/>
        <w:bidi w:val="0"/>
      </w:pPr>
      <w:r>
        <w:rPr>
          <w:rtl w:val="0"/>
          <w:lang w:val="el"/>
        </w:rPr>
        <w:t>Οι πραγματικές πληρωμές ισούνται με το άθροισμα των δυναμικών τιμών του πίνακα πληρωμών που αντιστοιχούν σε κάθε γραμμή που κερδίζεται.</w:t>
      </w:r>
    </w:p>
    <w:p>
      <w:pPr>
        <w:pStyle w:val="Normal1"/>
        <w:bidi w:val="0"/>
      </w:pPr>
      <w:r>
        <w:rPr>
          <w:rtl w:val="0"/>
          <w:lang w:val="el"/>
        </w:rPr>
        <w:t>Το παιχνίδι παίζεται σε 10 σταθερές γραμμές πληρωμής.</w:t>
      </w:r>
    </w:p>
    <w:p>
      <w:pPr>
        <w:pStyle w:val="Normal1"/>
        <w:bidi w:val="0"/>
      </w:pPr>
      <w:r>
        <w:rPr>
          <w:rtl w:val="0"/>
          <w:lang w:val="el"/>
        </w:rPr>
        <w:t xml:space="preserve">Το επίπεδο στοιχήματος ρυθμίζεται χρησιμοποιώντας τους επιλογείς ΕΠΙΠΕΔΟ ΣΤΟΙΧΗΜΑΤΟΣ. </w:t>
      </w:r>
    </w:p>
    <w:p>
      <w:pPr>
        <w:pStyle w:val="Normal1"/>
        <w:bidi w:val="0"/>
      </w:pPr>
      <w:r>
        <w:rPr>
          <w:rtl w:val="0"/>
          <w:lang w:val="el"/>
        </w:rPr>
        <w:t xml:space="preserve">Το AUTOPLAY παίζει αυτόματα το παιχνίδι για τον επιλεγμένο αριθμό γύρων.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el"/>
        </w:rPr>
        <w:t xml:space="preserve">ΧΑΡΑΚΤΗΡΙΣΤΙΚΑ ΠΑΙΧΝΙΔΙΟΥ </w:t>
      </w:r>
    </w:p>
    <w:p>
      <w:pPr>
        <w:pStyle w:val="Normal1"/>
        <w:bidi w:val="0"/>
      </w:pPr>
      <w:r>
        <w:rPr>
          <w:rtl w:val="0"/>
          <w:lang w:val="el"/>
        </w:rPr>
        <w:t xml:space="preserve">Πολλαπλασιάζοντας τα Wilds </w:t>
      </w:r>
    </w:p>
    <w:p>
      <w:pPr>
        <w:pStyle w:val="Normal1"/>
        <w:bidi w:val="0"/>
      </w:pPr>
      <w:r>
        <w:rPr>
          <w:rtl w:val="0"/>
          <w:lang w:val="el"/>
        </w:rPr>
        <w:t xml:space="preserve">Το wild υπάρχει στους τροχούς 1, 3 και 5. </w:t>
      </w:r>
    </w:p>
    <w:p>
      <w:pPr>
        <w:pStyle w:val="Normal1"/>
        <w:bidi w:val="0"/>
      </w:pPr>
      <w:r>
        <w:rPr>
          <w:rtl w:val="0"/>
          <w:lang w:val="el"/>
        </w:rPr>
        <w:t xml:space="preserve">Το σύμβολο Wild αντικαθιστά οποιοδήποτε σύμβολο για να δημιουργήσει τη μεγαλύτερη δυνατή νίκη σε μια γραμμή πληρωμής. </w:t>
      </w:r>
    </w:p>
    <w:p>
      <w:pPr>
        <w:pStyle w:val="Normal1"/>
        <w:bidi w:val="0"/>
      </w:pPr>
      <w:r>
        <w:rPr>
          <w:rtl w:val="0"/>
          <w:lang w:val="el"/>
        </w:rPr>
        <w:t xml:space="preserve">Κατά την προσγείωση στους τροχούς, το σύμβολο Wild θα αποκαλυφθεί ότι είναι ένας x2, x3 ή x7 πολλαπλασιαστής Wild. </w:t>
      </w:r>
    </w:p>
    <w:p>
      <w:pPr>
        <w:pStyle w:val="Normal1"/>
        <w:bidi w:val="0"/>
      </w:pPr>
      <w:r>
        <w:rPr>
          <w:rtl w:val="0"/>
          <w:lang w:val="el"/>
        </w:rPr>
        <w:t xml:space="preserve">Όλα τα κέρδη με αντικατάσταση συμβόλου το Ηλιακό Χρυσό Wild πολλαπλασιάζονται με τον αντίστοιχο πολλαπλασιαστή. </w:t>
      </w:r>
    </w:p>
    <w:p>
      <w:pPr>
        <w:pStyle w:val="Normal1"/>
        <w:bidi w:val="0"/>
      </w:pPr>
      <w:r>
        <w:rPr>
          <w:rtl w:val="0"/>
          <w:lang w:val="el"/>
        </w:rPr>
        <w:t xml:space="preserve">Οι κέρδη με το ίδιο σύμβολο Wild σε διαφορετικές γραμμές πληρωμής έχουν τον ίδιο πολλαπλασιαστή.  </w:t>
      </w:r>
    </w:p>
    <w:p>
      <w:pPr>
        <w:pStyle w:val="Normal1"/>
        <w:bidi w:val="0"/>
      </w:pPr>
      <w:r>
        <w:rPr>
          <w:rtl w:val="0"/>
          <w:lang w:val="el"/>
        </w:rPr>
        <w:t xml:space="preserve">Στην περίπτωση περισσότερων του ενός πολλαπλασιαστών σε μια κέρδος, οι πολλαπλασιαστές αθροίζονται.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el"/>
        </w:rPr>
        <w:t>RTP</w:t>
      </w:r>
    </w:p>
    <w:p>
      <w:pPr>
        <w:pStyle w:val="Normal1"/>
        <w:bidi w:val="0"/>
      </w:pPr>
      <w:r>
        <w:rPr>
          <w:rtl w:val="0"/>
          <w:lang w:val="el"/>
        </w:rPr>
        <w:t xml:space="preserve">Η θεωρητική επιστροφή στον παίκτη μέσω 1 δισεκατομμυρίου προσομοιωμένων παιχνιδιών είναι 96,15%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53D709AF-07A5-4B7F-8E72-D91121311A58}"/>
</file>

<file path=customXml/itemProps2.xml><?xml version="1.0" encoding="utf-8"?>
<ds:datastoreItem xmlns:ds="http://schemas.openxmlformats.org/officeDocument/2006/customXml" ds:itemID="{C8AE5D27-2597-41F9-8A0F-09238E9632B7}"/>
</file>

<file path=customXml/itemProps3.xml><?xml version="1.0" encoding="utf-8"?>
<ds:datastoreItem xmlns:ds="http://schemas.openxmlformats.org/officeDocument/2006/customXml" ds:itemID="{D9B68079-1EA5-447F-8DE1-5812BADB837E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