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fi-FI"/>
          <w:rFonts/>
        </w:rPr>
        <w:t xml:space="preserve">Surging 7s Pelin Säännöt</w:t>
      </w:r>
    </w:p>
    <w:p w14:paraId="20FF52F0" w14:textId="77777777" w:rsidR="00957233" w:rsidRDefault="00000000">
      <w:r>
        <w:rPr>
          <w:b w:val="true"/>
          <w:lang w:val="fi-FI"/>
          <w:rFonts/>
        </w:rPr>
        <w:t xml:space="preserve">Surging 7s</w:t>
      </w:r>
      <w:r>
        <w:rPr>
          <w:lang w:val="fi-FI"/>
          <w:rFonts/>
        </w:rPr>
        <w:t xml:space="preserve"> on 6 rullan ja 4 rivin, 40 linjan peli, jonka ominaisuuksiin kuuluvat surging 7 kertoimet, kertyvät kerroin-ilmaiskierrokset sekä Linkkibonus.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fi-FI"/>
          <w:rFonts/>
        </w:rPr>
        <w:t xml:space="preserve">Voittolinjat lasketaan vasemmalta oikealle vierekkäisiltä rullilta, alkaen vasemmanpuoleisimmasta rullasta. </w:t>
      </w:r>
      <w:r>
        <w:rPr>
          <w:lang w:val="fi-FI"/>
          <w:rFonts/>
        </w:rPr>
        <w:t xml:space="preserve">Vain voittolinjan </w:t>
      </w:r>
      <w:bookmarkStart w:id="0" w:name="_Hlk102050095"/>
      <w:r>
        <w:rPr>
          <w:lang w:val="fi-FI"/>
          <w:rFonts/>
        </w:rPr>
        <w:t xml:space="preserve">pisin yhdistelmä maksetaan.</w:t>
      </w:r>
      <w:r>
        <w:rPr>
          <w:lang w:val="fi-FI"/>
          <w:rFonts/>
        </w:rPr>
        <w:t xml:space="preserve">  </w:t>
      </w:r>
      <w:r>
        <w:rPr>
          <w:color w:val="242424"/>
          <w:shd w:val="clear" w:color="auto" w:fill="FFFFFF"/>
          <w:lang w:val="fi-FI"/>
          <w:rFonts/>
        </w:rPr>
        <w:t xml:space="preserve">Samanaikaiset tai toisiaan vastaavat voitot lasketaan yhteen.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fi-FI"/>
        </w:rPr>
      </w:pPr>
      <w:r>
        <w:rPr>
          <w:color w:val="242424"/>
          <w:shd w:val="clear" w:color="auto" w:fill="FFFFFF"/>
          <w:lang w:val="fi-FI"/>
          <w:rFonts/>
        </w:rPr>
        <w:t xml:space="preserve">Kaikki voitot tapahtuvat linjoilla, paitsi Lioness bonus-scatter ja ilmaiskierros-scatter, joka palkitsee bonuksella 3 tai useamman saman scatterin pyöräyttämisestä mihin tahansa.</w:t>
      </w:r>
      <w:r>
        <w:rPr>
          <w:color w:val="242424"/>
          <w:shd w:val="clear" w:color="auto" w:fill="FFFFFF"/>
          <w:lang w:val="fi-FI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fi-FI"/>
        </w:rPr>
      </w:pPr>
      <w:r>
        <w:rPr>
          <w:rFonts w:ascii="Calibri Light" w:hAnsi="Calibri Light"/>
          <w:color w:val="2F5496"/>
          <w:sz w:val="26"/>
          <w:lang w:val="fi-FI"/>
        </w:rPr>
        <w:t xml:space="preserve">Surging 7 Kertoimet</w:t>
      </w:r>
    </w:p>
    <w:p w14:paraId="28642CB1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Kun mikä tahansa 7 symboleista osuu pinossa vähintään 3 täydelle vierekkäiselle sarakkeelle voittavalla pyöräytyksellä, tappelu-ominaisuus laukeaa.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Lauettuaan 7-symbolit luovat satunnaisen kertoimen nykyiseen voittoon.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Satunnaisen kertoimen arvo riippuu ominaisuuden aikana pyöräytettyjen täysien pinojen määrästä:</w:t>
      </w:r>
    </w:p>
    <w:p w14:paraId="26134F1B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Määrien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Kertoimet</w:t>
      </w:r>
    </w:p>
    <w:p w14:paraId="4DCE7941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3 täyttä pinoa 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4 täyttä pinoa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5 täyttä pinoa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6 täyttä pinoa 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Ominaisuuden kertoimet ovat käytössä vain 40 linjan linjavoittoihin, eivätkä siirry bonukseen tai ilmaiskierroksille.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fi-FI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fi-FI"/>
        </w:rPr>
      </w:pPr>
      <w:r>
        <w:rPr>
          <w:rFonts w:ascii="Calibri Light" w:hAnsi="Calibri Light"/>
          <w:color w:val="2F5496"/>
          <w:sz w:val="26"/>
          <w:lang w:val="fi-FI"/>
        </w:rPr>
        <w:t xml:space="preserve">Onnenpanos – Korkeammat kertoimet</w:t>
      </w:r>
    </w:p>
    <w:p w14:paraId="0B55E63F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Maksa 30% ylimääräinen panos aktivoidaksesi lisää voimaa 7-symboleille Surging 7 -ominaisuudessa.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Voittaessa 3 tai useamman täysillä 7-pinoilla tappelu-ominaisuus laukeaa 100% varmuudella ja kerrointen vaihteluväli on seuraava:</w:t>
      </w:r>
    </w:p>
    <w:p w14:paraId="796EB788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Määrien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Kertoimet</w:t>
      </w:r>
    </w:p>
    <w:p w14:paraId="2783C289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3 täyttä pinoa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4 täyttä pinoa 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5 täyttä pinoa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6 täyttä pinoa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fi-FI"/>
          <w:rFonts/>
        </w:rPr>
        <w:t xml:space="preserve">Ominaisuuden kertoimet ovat käytössä vain 40 linjan linjavoittoihin, eivätkä siirry bonukseen tai ilmaiskierroksille.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Onnenpanos ei ole välttämättä saatavilla kaikilla alueilla.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fi-FI"/>
          <w:rFonts/>
        </w:rPr>
        <w:t xml:space="preserve">Linkkibonus</w:t>
      </w:r>
    </w:p>
    <w:p w14:paraId="07E76966" w14:textId="77777777" w:rsidR="00957233" w:rsidRDefault="00000000">
      <w:r>
        <w:rPr>
          <w:lang w:val="fi-FI"/>
          <w:rFonts/>
        </w:rPr>
        <w:t xml:space="preserve">Pyöräytä 4 tai useampia [Scatter] mihin tahansa rullilla laukaistaksesi Linkkibonuksen.</w:t>
      </w:r>
      <w:r>
        <w:rPr>
          <w:lang w:val="fi-FI"/>
          <w:rFonts/>
        </w:rPr>
        <w:t xml:space="preserve"> </w:t>
      </w:r>
      <w:r>
        <w:rPr>
          <w:lang w:val="fi-FI"/>
          <w:rFonts/>
        </w:rPr>
        <w:t xml:space="preserve">Bonuksen laukaisemisesta ei makseta oletuspalkintoa, mutta kaikki laukaisevat [Scatter] symbolit paljastavat satunnaisen voittosumman tai vaihtavat väriään paljastaakseen vastaavan voittopotin värin.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Kaikki muut symbolit katoavat ja bonus alkaa 3 alustavalla uudelleenpyöräytyksellä jäljellä olevilla rullilla.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Jäljellä olevien uudelleenpyöräytysten määrä palautetaan 3 aina, kun vähintään yksi [Scatter] symboli osuu rullille.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Jokainen ylimääräinen [Scatter], joka osuu rullille paljastaa myös voittosumman tai vaihtaa väriään paljastaakseen vastaavan voittopotin värin.</w:t>
      </w:r>
    </w:p>
    <w:p w14:paraId="53C32520" w14:textId="77777777" w:rsidR="00957233" w:rsidRDefault="00000000">
      <w:r>
        <w:rPr>
          <w:lang w:val="fi-FI"/>
          <w:rFonts/>
        </w:rPr>
        <w:t xml:space="preserve">Jokaisen lioness-symbolin voitot ovat</w:t>
      </w:r>
    </w:p>
    <w:p w14:paraId="007429E0" w14:textId="77777777" w:rsidR="00957233" w:rsidRDefault="00000000">
      <w:r>
        <w:rPr>
          <w:lang w:val="fi-FI"/>
          <w:rFonts/>
        </w:rPr>
        <w:t xml:space="preserve">Satunnainen voittosumma 1 – 10x</w:t>
      </w:r>
    </w:p>
    <w:p w14:paraId="03772369" w14:textId="77777777" w:rsidR="00957233" w:rsidRDefault="00000000">
      <w:r>
        <w:rPr>
          <w:lang w:val="fi-FI"/>
          <w:rFonts/>
        </w:rPr>
        <w:t xml:space="preserve">Mini-palkintopotti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20X</w:t>
      </w:r>
    </w:p>
    <w:p w14:paraId="0C962CFE" w14:textId="77777777" w:rsidR="00957233" w:rsidRDefault="00000000">
      <w:r>
        <w:rPr>
          <w:lang w:val="fi-FI"/>
          <w:rFonts/>
        </w:rPr>
        <w:t xml:space="preserve">Minor-palkintopotti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50X</w:t>
      </w:r>
    </w:p>
    <w:p w14:paraId="7848D3EF" w14:textId="77777777" w:rsidR="00957233" w:rsidRDefault="00000000">
      <w:r>
        <w:rPr>
          <w:lang w:val="fi-FI"/>
          <w:rFonts/>
        </w:rPr>
        <w:t xml:space="preserve">Major-palkintopotti</w:t>
      </w:r>
      <w:r>
        <w:rPr>
          <w:lang w:val="fi-FI"/>
          <w:rFonts/>
        </w:rPr>
        <w:tab/>
      </w:r>
      <w:r>
        <w:rPr>
          <w:lang w:val="fi-FI"/>
          <w:rFonts/>
        </w:rPr>
        <w:t xml:space="preserve">100X</w:t>
      </w:r>
    </w:p>
    <w:p w14:paraId="1CF77995" w14:textId="77777777" w:rsidR="00957233" w:rsidRDefault="00000000">
      <w:r>
        <w:rPr>
          <w:lang w:val="fi-FI"/>
          <w:rFonts/>
        </w:rPr>
        <w:t xml:space="preserve">Ilmaiskierrokset päättyvät, kun uudelleenpyöräytyksiä ei ole enää jäljellä tai kaikki 24 positiota on täytetty.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Jos kaikki 24 sijaintia on täytetty, voittona on ylimääräinen 1000x voitto muiden bonuksen aikana kertyneiden voittojen lisäksi.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Kaikki Palkintopotit voidaan voittaa useammin kuin kerran.</w:t>
      </w:r>
      <w:r>
        <w:rPr>
          <w:lang w:val="fi-FI"/>
          <w:rFonts/>
        </w:rPr>
        <w:t xml:space="preserve"> </w:t>
      </w:r>
      <w:r>
        <w:rPr>
          <w:lang w:val="fi-FI"/>
          <w:rFonts/>
        </w:rPr>
        <w:t xml:space="preserve">1000x palkinto voitetaan vain, jos kaikki 24 sijaintia on täytetty.</w:t>
      </w:r>
    </w:p>
    <w:p w14:paraId="5D001BA0" w14:textId="77777777" w:rsidR="00957233" w:rsidRDefault="00000000">
      <w:pPr>
        <w:pStyle w:val="Heading2"/>
        <w:rPr>
          <w:lang w:val="fi-FI"/>
          <w:rFonts/>
        </w:rPr>
      </w:pPr>
      <w:r>
        <w:rPr>
          <w:lang w:val="fi-FI"/>
          <w:rFonts/>
        </w:rPr>
        <w:t xml:space="preserve">Ilmaiskierrokset</w:t>
      </w:r>
    </w:p>
    <w:p w14:paraId="6830A270" w14:textId="77777777" w:rsidR="00957233" w:rsidRDefault="00000000">
      <w:r>
        <w:rPr>
          <w:lang w:val="fi-FI"/>
          <w:rFonts/>
        </w:rPr>
        <w:t xml:space="preserve">Pyöräytä 3 [Free Spins Scatter] symbolia laukaistaksesi ilmaiskierrosbonuksen. Palkintona olevat 5 ilmaiskierrosta sisältävät extra-pitkät pinot 7-symboleja jokaisella kierroksella.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Kun 3 tai useampia täysiä pinoja osuvat voittavalla symbolilla, ylempänä kuvailtu tappelu-ominaisuus laukeaa ja jokaisella kierroksella saavutettava kerroin säilyy ilmaiskierrosten ajan.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Kertoimen arvo kertyy koko ominaisuuden ajan ja palautuu vasta ilmaiskierrosten päätyttyä.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Onnenpanos ei vaikuta ilmaiskierrosten aikana.</w:t>
      </w:r>
      <w:r>
        <w:rPr>
          <w:lang w:val="fi-FI"/>
          <w:rFonts/>
        </w:rPr>
        <w:t xml:space="preserve">  </w:t>
      </w:r>
      <w:r>
        <w:rPr>
          <w:color w:val="242424"/>
          <w:shd w:val="clear" w:color="auto" w:fill="FFFFFF"/>
          <w:lang w:val="fi-FI"/>
          <w:rFonts/>
        </w:rPr>
        <w:t xml:space="preserve">Ilmaiskierros-scatterit eivät palkitse maksettavilla voitoilla.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Ilmaiskierroksia ei voi käynnistää uudelleen.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Ilmaiskierrokset maksetaan ennen ilmaiskierroksille siirtymistä käytetyn panosmäärän mukaisesti.</w:t>
      </w:r>
      <w:r>
        <w:rPr>
          <w:lang w:val="fi-FI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fi-FI"/>
          <w:rFonts/>
        </w:rPr>
        <w:t xml:space="preserve">On mahdotonta laukaista Linkkibonus sekä ilmaiskierrosbonus samalla pyöräytyksellä.</w:t>
      </w:r>
    </w:p>
    <w:p w14:paraId="71B0F692" w14:textId="77777777" w:rsidR="00957233" w:rsidRDefault="00957233">
      <w:pPr>
        <w:rPr>
          <w:lang w:val="fi-FI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fi-FI"/>
          <w:rFonts/>
        </w:rPr>
        <w:t xml:space="preserve">Ostobonus</w:t>
      </w:r>
    </w:p>
    <w:p w14:paraId="1594D7D8" w14:textId="77777777" w:rsidR="00957233" w:rsidRDefault="00000000">
      <w:r>
        <w:rPr>
          <w:lang w:val="fi-FI"/>
          <w:rFonts/>
        </w:rPr>
        <w:t xml:space="preserve">Paina [Buy Bonus]-painiketta siirtyäksesi ostobonuksen vahvistusruutuun.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Bonuksen ostamisen vahvistusruutuun siirtyessä Onnenpanos otetaan automaattisesti pois päältä ja oletuspanoksena näkyy nykyinen panos ilman ylimääräistä maksua Onnenpanoksesta.</w:t>
      </w:r>
      <w:r>
        <w:rPr>
          <w:lang w:val="fi-FI"/>
          <w:rFonts/>
        </w:rPr>
        <w:t xml:space="preserve">   </w:t>
      </w:r>
      <w:r>
        <w:rPr>
          <w:lang w:val="fi-FI"/>
          <w:rFonts/>
        </w:rPr>
        <w:t xml:space="preserve">Valitse bonuksen panos ja paina [Buy] vahvistaaksesi 31x panoksen, ja siirryt automaattisesti Linkkibonukseen.</w:t>
      </w:r>
      <w:r>
        <w:rPr>
          <w:lang w:val="fi-FI"/>
          <w:rFonts/>
        </w:rPr>
        <w:t xml:space="preserve">  </w:t>
      </w:r>
      <w:r>
        <w:rPr>
          <w:color w:val="242424"/>
          <w:shd w:val="clear" w:color="auto" w:fill="FFFFFF"/>
          <w:lang w:val="fi-FI"/>
          <w:rFonts/>
        </w:rPr>
        <w:t xml:space="preserve">Osto-ominaisuus ei ole välttämättä saatavilla kaikilla alueilla.</w:t>
      </w:r>
    </w:p>
    <w:p w14:paraId="0A294334" w14:textId="77777777" w:rsidR="00957233" w:rsidRDefault="00957233">
      <w:pPr>
        <w:rPr>
          <w:lang w:val="fi-FI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fi-FI"/>
          <w:rFonts/>
        </w:rPr>
        <w:t xml:space="preserve">Pelin palautusprosentti (RTP)</w:t>
      </w:r>
    </w:p>
    <w:p w14:paraId="68965A68" w14:textId="77777777" w:rsidR="00957233" w:rsidRDefault="00000000">
      <w:r>
        <w:rPr>
          <w:lang w:val="fi-FI"/>
          <w:rFonts/>
        </w:rPr>
        <w:t xml:space="preserve">Peruspelin teoreettinen palautusprosentti (RTP) on 93,99 % ilman Onnenpanosta.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Onnenpanosta käytettäessä pelin teoreettinen palautusprosentti (RTP) on 94,19 %.</w:t>
      </w:r>
      <w:r>
        <w:rPr>
          <w:lang w:val="fi-FI"/>
          <w:rFonts/>
        </w:rPr>
        <w:t xml:space="preserve">  </w:t>
      </w:r>
      <w:r>
        <w:rPr>
          <w:lang w:val="fi-FI"/>
          <w:rFonts/>
        </w:rPr>
        <w:t xml:space="preserve">Ostobonusta käytettäessä pelin teoreettinen palautusprosentti (RTP) on 93,78 %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fi-FI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fi-FI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fi-FI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fi-FI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D6FBD95C-5115-4B21-835F-1C7A09B0D1B7}"/>
</file>

<file path=customXml/itemProps2.xml><?xml version="1.0" encoding="utf-8"?>
<ds:datastoreItem xmlns:ds="http://schemas.openxmlformats.org/officeDocument/2006/customXml" ds:itemID="{48FDA1CC-C239-40E0-BB8B-E4E4A1F8263E}"/>
</file>

<file path=customXml/itemProps3.xml><?xml version="1.0" encoding="utf-8"?>
<ds:datastoreItem xmlns:ds="http://schemas.openxmlformats.org/officeDocument/2006/customXml" ds:itemID="{2B0A7824-87DE-418F-BFFC-6DD0B9B5B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