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C53" w14:textId="0200C506" w:rsidR="003D4201" w:rsidRPr="009D5439" w:rsidRDefault="00BB4858" w:rsidP="00916A5B">
      <w:pPr>
        <w:pStyle w:val="Rubrik1"/>
        <w:keepNext w:val="0"/>
        <w:keepLines w:val="0"/>
        <w:widowControl w:val="0"/>
        <w:spacing w:before="0" w:after="240"/>
        <w:jc w:val="center"/>
        <w:rPr>
          <w:rFonts w:ascii="Arial" w:hAnsi="Arial" w:cs="Arial"/>
          <w:szCs w:val="24"/>
        </w:rPr>
      </w:pPr>
      <w:r w:rsidRPr="009D5439">
        <w:rPr>
          <w:rFonts w:ascii="Arial" w:hAnsi="Arial" w:cs="Arial"/>
          <w:szCs w:val="24"/>
        </w:rPr>
        <w:t xml:space="preserve">Villkor för teckningsoptioner </w:t>
      </w:r>
      <w:r w:rsidR="00571640" w:rsidRPr="009D5439">
        <w:rPr>
          <w:rFonts w:ascii="Arial" w:hAnsi="Arial" w:cs="Arial"/>
          <w:szCs w:val="24"/>
        </w:rPr>
        <w:t xml:space="preserve">av serie </w:t>
      </w:r>
      <w:r w:rsidR="000B32D8">
        <w:rPr>
          <w:rFonts w:ascii="Arial" w:hAnsi="Arial" w:cs="Arial"/>
          <w:szCs w:val="24"/>
        </w:rPr>
        <w:t>202</w:t>
      </w:r>
      <w:r w:rsidR="00AF651F">
        <w:rPr>
          <w:rFonts w:ascii="Arial" w:hAnsi="Arial" w:cs="Arial"/>
          <w:szCs w:val="24"/>
        </w:rPr>
        <w:t>2</w:t>
      </w:r>
      <w:r w:rsidR="000B32D8">
        <w:rPr>
          <w:rFonts w:ascii="Arial" w:hAnsi="Arial" w:cs="Arial"/>
          <w:szCs w:val="24"/>
        </w:rPr>
        <w:t>/202</w:t>
      </w:r>
      <w:r w:rsidR="00AF651F">
        <w:rPr>
          <w:rFonts w:ascii="Arial" w:hAnsi="Arial" w:cs="Arial"/>
          <w:szCs w:val="24"/>
        </w:rPr>
        <w:t>5A</w:t>
      </w:r>
      <w:r w:rsidR="00571640" w:rsidRPr="009D5439">
        <w:rPr>
          <w:rFonts w:ascii="Arial" w:hAnsi="Arial" w:cs="Arial"/>
          <w:szCs w:val="24"/>
        </w:rPr>
        <w:t xml:space="preserve"> </w:t>
      </w:r>
      <w:r w:rsidRPr="009D5439">
        <w:rPr>
          <w:rFonts w:ascii="Arial" w:hAnsi="Arial" w:cs="Arial"/>
          <w:szCs w:val="24"/>
        </w:rPr>
        <w:t xml:space="preserve">avseende nyteckning av aktier i </w:t>
      </w:r>
      <w:r w:rsidR="00D50406">
        <w:rPr>
          <w:rFonts w:ascii="Arial" w:hAnsi="Arial" w:cs="Arial"/>
          <w:szCs w:val="24"/>
        </w:rPr>
        <w:t>FANTASMA GAMES</w:t>
      </w:r>
      <w:r w:rsidR="00DE572C" w:rsidRPr="00DE572C">
        <w:rPr>
          <w:rFonts w:ascii="Arial" w:hAnsi="Arial" w:cs="Arial"/>
          <w:szCs w:val="24"/>
        </w:rPr>
        <w:t xml:space="preserve"> </w:t>
      </w:r>
      <w:r w:rsidR="00044CD4" w:rsidRPr="00044CD4">
        <w:rPr>
          <w:rFonts w:ascii="Arial" w:hAnsi="Arial" w:cs="Arial"/>
          <w:szCs w:val="24"/>
        </w:rPr>
        <w:t>AB</w:t>
      </w:r>
      <w:r w:rsidR="00D50406">
        <w:rPr>
          <w:rFonts w:ascii="Arial" w:hAnsi="Arial" w:cs="Arial"/>
          <w:szCs w:val="24"/>
        </w:rPr>
        <w:t xml:space="preserve"> (PUBL)</w:t>
      </w:r>
    </w:p>
    <w:p w14:paraId="416C9A45" w14:textId="77777777" w:rsidR="003D4201" w:rsidRPr="009D5439" w:rsidRDefault="00BB4858" w:rsidP="00435C87">
      <w:pPr>
        <w:pStyle w:val="Rubrik2"/>
        <w:keepNext w:val="0"/>
        <w:keepLines w:val="0"/>
        <w:widowControl w:val="0"/>
        <w:jc w:val="both"/>
        <w:rPr>
          <w:rFonts w:ascii="Arial" w:hAnsi="Arial" w:cs="Arial"/>
          <w:sz w:val="20"/>
          <w:szCs w:val="20"/>
        </w:rPr>
      </w:pPr>
      <w:r w:rsidRPr="009D5439">
        <w:rPr>
          <w:rFonts w:ascii="Arial" w:hAnsi="Arial" w:cs="Arial"/>
          <w:sz w:val="20"/>
          <w:szCs w:val="20"/>
        </w:rPr>
        <w:t>§ 1 Definitioner</w:t>
      </w:r>
    </w:p>
    <w:p w14:paraId="7E6712CB" w14:textId="77777777" w:rsidR="003D4201" w:rsidRPr="009D5439" w:rsidRDefault="00BB4858" w:rsidP="00E12905">
      <w:pPr>
        <w:widowControl w:val="0"/>
        <w:spacing w:before="120"/>
        <w:jc w:val="both"/>
        <w:rPr>
          <w:rFonts w:ascii="Arial" w:hAnsi="Arial" w:cs="Arial"/>
          <w:sz w:val="20"/>
          <w:szCs w:val="20"/>
        </w:rPr>
      </w:pPr>
      <w:r w:rsidRPr="009D5439">
        <w:rPr>
          <w:rFonts w:ascii="Arial" w:hAnsi="Arial" w:cs="Arial"/>
          <w:sz w:val="20"/>
          <w:szCs w:val="20"/>
        </w:rPr>
        <w:t>I föreliggande villkor ska följande benämningar ha den innebörd som angivits nedan.</w:t>
      </w:r>
    </w:p>
    <w:tbl>
      <w:tblPr>
        <w:tblpPr w:leftFromText="141" w:rightFromText="141" w:vertAnchor="text" w:tblpY="1"/>
        <w:tblOverlap w:val="never"/>
        <w:tblW w:w="5000" w:type="pct"/>
        <w:tblCellSpacing w:w="7" w:type="dxa"/>
        <w:tblCellMar>
          <w:top w:w="15" w:type="dxa"/>
          <w:left w:w="15" w:type="dxa"/>
          <w:bottom w:w="15" w:type="dxa"/>
          <w:right w:w="15" w:type="dxa"/>
        </w:tblCellMar>
        <w:tblLook w:val="04A0" w:firstRow="1" w:lastRow="0" w:firstColumn="1" w:lastColumn="0" w:noHBand="0" w:noVBand="1"/>
      </w:tblPr>
      <w:tblGrid>
        <w:gridCol w:w="2052"/>
        <w:gridCol w:w="7020"/>
      </w:tblGrid>
      <w:tr w:rsidR="003D4201" w:rsidRPr="009D5439" w14:paraId="4199AE68" w14:textId="77777777" w:rsidTr="008A71F4">
        <w:trPr>
          <w:tblCellSpacing w:w="7" w:type="dxa"/>
        </w:trPr>
        <w:tc>
          <w:tcPr>
            <w:tcW w:w="0" w:type="auto"/>
          </w:tcPr>
          <w:p w14:paraId="5348EBC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”Aktie”</w:t>
            </w:r>
          </w:p>
        </w:tc>
        <w:tc>
          <w:tcPr>
            <w:tcW w:w="0" w:type="auto"/>
          </w:tcPr>
          <w:p w14:paraId="2F894E9D" w14:textId="02DA345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044863" w:rsidRPr="009D5439">
              <w:rPr>
                <w:rFonts w:ascii="Arial" w:hAnsi="Arial" w:cs="Arial"/>
                <w:sz w:val="20"/>
                <w:szCs w:val="20"/>
              </w:rPr>
              <w:t>a</w:t>
            </w:r>
            <w:r w:rsidR="00BB4858" w:rsidRPr="009D5439">
              <w:rPr>
                <w:rFonts w:ascii="Arial" w:hAnsi="Arial" w:cs="Arial"/>
                <w:sz w:val="20"/>
                <w:szCs w:val="20"/>
              </w:rPr>
              <w:t>ktie</w:t>
            </w:r>
            <w:r w:rsidR="00DE572C">
              <w:rPr>
                <w:rFonts w:ascii="Arial" w:hAnsi="Arial" w:cs="Arial"/>
                <w:sz w:val="20"/>
                <w:szCs w:val="20"/>
              </w:rPr>
              <w:t xml:space="preserve"> </w:t>
            </w:r>
            <w:r w:rsidR="000B32D8">
              <w:rPr>
                <w:rFonts w:ascii="Arial" w:hAnsi="Arial" w:cs="Arial"/>
                <w:sz w:val="20"/>
                <w:szCs w:val="20"/>
              </w:rPr>
              <w:t xml:space="preserve">i </w:t>
            </w:r>
            <w:r w:rsidR="00BB4858" w:rsidRPr="009D5439">
              <w:rPr>
                <w:rFonts w:ascii="Arial" w:hAnsi="Arial" w:cs="Arial"/>
                <w:sz w:val="20"/>
                <w:szCs w:val="20"/>
              </w:rPr>
              <w:t>Bolaget;</w:t>
            </w:r>
          </w:p>
        </w:tc>
      </w:tr>
      <w:tr w:rsidR="003D4201" w:rsidRPr="009D5439" w14:paraId="7AFD670F" w14:textId="77777777" w:rsidTr="008A71F4">
        <w:trPr>
          <w:tblCellSpacing w:w="7" w:type="dxa"/>
        </w:trPr>
        <w:tc>
          <w:tcPr>
            <w:tcW w:w="0" w:type="auto"/>
          </w:tcPr>
          <w:p w14:paraId="3FC4AFA9"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”Avstämningsbolag”</w:t>
            </w:r>
          </w:p>
        </w:tc>
        <w:tc>
          <w:tcPr>
            <w:tcW w:w="0" w:type="auto"/>
          </w:tcPr>
          <w:p w14:paraId="7793C51A" w14:textId="46AA4005"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bolag som har infört avstämningsförbehåll i bolagsordningen och anslutit sina aktier till Euroclear;</w:t>
            </w:r>
          </w:p>
        </w:tc>
      </w:tr>
      <w:tr w:rsidR="003D4201" w:rsidRPr="009D5439" w14:paraId="14EC5C6E" w14:textId="77777777" w:rsidTr="008A71F4">
        <w:trPr>
          <w:tblCellSpacing w:w="7" w:type="dxa"/>
        </w:trPr>
        <w:tc>
          <w:tcPr>
            <w:tcW w:w="0" w:type="auto"/>
          </w:tcPr>
          <w:p w14:paraId="6667AAF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”Avstämningskonto”</w:t>
            </w:r>
          </w:p>
        </w:tc>
        <w:tc>
          <w:tcPr>
            <w:tcW w:w="0" w:type="auto"/>
          </w:tcPr>
          <w:p w14:paraId="321619E6" w14:textId="47F54B98"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konto vid Euroclear för registrering av sådana finansiella instrument som anges i lagen (1998:1479) om värdepapperscentraler och kontoföring av finansiella instrument;</w:t>
            </w:r>
          </w:p>
        </w:tc>
      </w:tr>
      <w:tr w:rsidR="003D4201" w:rsidRPr="009D5439" w14:paraId="5963789B" w14:textId="77777777" w:rsidTr="008A71F4">
        <w:trPr>
          <w:tblCellSpacing w:w="7" w:type="dxa"/>
        </w:trPr>
        <w:tc>
          <w:tcPr>
            <w:tcW w:w="0" w:type="auto"/>
          </w:tcPr>
          <w:p w14:paraId="4AA2B390"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”Bankdag”</w:t>
            </w:r>
          </w:p>
        </w:tc>
        <w:tc>
          <w:tcPr>
            <w:tcW w:w="0" w:type="auto"/>
          </w:tcPr>
          <w:p w14:paraId="5ECF7FB7" w14:textId="42BA75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dag som i Sverige inte är söndag eller annan allmän helgdag eller som beträffande betalning av skuldebrev inte är likställd med allmän helgdag i Sverige;</w:t>
            </w:r>
          </w:p>
        </w:tc>
      </w:tr>
      <w:tr w:rsidR="003D4201" w:rsidRPr="00B504B8" w14:paraId="38F5FED5" w14:textId="77777777" w:rsidTr="008A71F4">
        <w:trPr>
          <w:trHeight w:val="313"/>
          <w:tblCellSpacing w:w="7" w:type="dxa"/>
        </w:trPr>
        <w:tc>
          <w:tcPr>
            <w:tcW w:w="0" w:type="auto"/>
          </w:tcPr>
          <w:p w14:paraId="77EE29F3" w14:textId="1FC2FFF9" w:rsidR="006A3CA3" w:rsidRPr="008A71F4" w:rsidRDefault="00BB4858" w:rsidP="008A71F4">
            <w:pPr>
              <w:widowControl w:val="0"/>
              <w:jc w:val="both"/>
              <w:rPr>
                <w:rFonts w:ascii="Arial" w:hAnsi="Arial" w:cs="Arial"/>
                <w:b/>
                <w:sz w:val="20"/>
                <w:szCs w:val="20"/>
              </w:rPr>
            </w:pPr>
            <w:r w:rsidRPr="009D5439">
              <w:rPr>
                <w:rFonts w:ascii="Arial" w:hAnsi="Arial" w:cs="Arial"/>
                <w:b/>
                <w:sz w:val="20"/>
                <w:szCs w:val="20"/>
              </w:rPr>
              <w:t>”Bolaget”</w:t>
            </w:r>
          </w:p>
        </w:tc>
        <w:tc>
          <w:tcPr>
            <w:tcW w:w="0" w:type="auto"/>
          </w:tcPr>
          <w:p w14:paraId="6548E7EB" w14:textId="3F232A45" w:rsidR="008A71F4" w:rsidRPr="00DE572C" w:rsidRDefault="00DE572C" w:rsidP="008A71F4">
            <w:pPr>
              <w:widowControl w:val="0"/>
              <w:jc w:val="both"/>
              <w:rPr>
                <w:rFonts w:ascii="Arial" w:hAnsi="Arial" w:cs="Arial"/>
                <w:sz w:val="21"/>
                <w:szCs w:val="21"/>
              </w:rPr>
            </w:pPr>
            <w:r w:rsidRPr="000B32D8">
              <w:rPr>
                <w:rFonts w:ascii="Arial" w:hAnsi="Arial" w:cs="Arial"/>
                <w:sz w:val="20"/>
                <w:szCs w:val="20"/>
              </w:rPr>
              <w:t xml:space="preserve">avser </w:t>
            </w:r>
            <w:r w:rsidR="00D50406">
              <w:t xml:space="preserve"> </w:t>
            </w:r>
            <w:r w:rsidR="00D50406" w:rsidRPr="00D50406">
              <w:rPr>
                <w:rFonts w:ascii="Arial" w:hAnsi="Arial" w:cs="Arial"/>
                <w:sz w:val="20"/>
                <w:szCs w:val="20"/>
              </w:rPr>
              <w:t>i Fantasma Games AB (publ), org.nr 559074-0881</w:t>
            </w:r>
            <w:r w:rsidR="00D50406">
              <w:rPr>
                <w:rFonts w:ascii="Arial" w:hAnsi="Arial" w:cs="Arial"/>
                <w:sz w:val="20"/>
                <w:szCs w:val="20"/>
              </w:rPr>
              <w:t>;</w:t>
            </w:r>
          </w:p>
        </w:tc>
      </w:tr>
      <w:tr w:rsidR="003D4201" w:rsidRPr="009D5439" w14:paraId="7BF64FC0" w14:textId="77777777" w:rsidTr="008A71F4">
        <w:trPr>
          <w:tblCellSpacing w:w="7" w:type="dxa"/>
        </w:trPr>
        <w:tc>
          <w:tcPr>
            <w:tcW w:w="0" w:type="auto"/>
          </w:tcPr>
          <w:p w14:paraId="503E10C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”Euroclear”</w:t>
            </w:r>
          </w:p>
        </w:tc>
        <w:tc>
          <w:tcPr>
            <w:tcW w:w="0" w:type="auto"/>
          </w:tcPr>
          <w:p w14:paraId="7815EB71" w14:textId="2F1D396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Euroclear Sweden AB</w:t>
            </w:r>
            <w:r w:rsidRPr="009D5439">
              <w:rPr>
                <w:rFonts w:ascii="Arial" w:hAnsi="Arial" w:cs="Arial"/>
                <w:sz w:val="20"/>
                <w:szCs w:val="20"/>
              </w:rPr>
              <w:t>, org.nr 556112-8074</w:t>
            </w:r>
            <w:r w:rsidR="00BB4858" w:rsidRPr="009D5439">
              <w:rPr>
                <w:rFonts w:ascii="Arial" w:hAnsi="Arial" w:cs="Arial"/>
                <w:sz w:val="20"/>
                <w:szCs w:val="20"/>
              </w:rPr>
              <w:t>;</w:t>
            </w:r>
          </w:p>
        </w:tc>
      </w:tr>
      <w:tr w:rsidR="003D4201" w:rsidRPr="009D5439" w14:paraId="6AF218AF" w14:textId="77777777" w:rsidTr="008A71F4">
        <w:trPr>
          <w:tblCellSpacing w:w="7" w:type="dxa"/>
        </w:trPr>
        <w:tc>
          <w:tcPr>
            <w:tcW w:w="0" w:type="auto"/>
          </w:tcPr>
          <w:p w14:paraId="335E62C6"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”Innehavare”</w:t>
            </w:r>
          </w:p>
        </w:tc>
        <w:tc>
          <w:tcPr>
            <w:tcW w:w="0" w:type="auto"/>
          </w:tcPr>
          <w:p w14:paraId="470020AB" w14:textId="4775B7BE"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innehavare av </w:t>
            </w:r>
            <w:r w:rsidR="00D101A8" w:rsidRPr="009D5439">
              <w:rPr>
                <w:rFonts w:ascii="Arial" w:hAnsi="Arial" w:cs="Arial"/>
                <w:sz w:val="20"/>
                <w:szCs w:val="20"/>
              </w:rPr>
              <w:t xml:space="preserve">Teckningsoption </w:t>
            </w:r>
            <w:r w:rsidR="00BB4858" w:rsidRPr="009D5439">
              <w:rPr>
                <w:rFonts w:ascii="Arial" w:hAnsi="Arial" w:cs="Arial"/>
                <w:sz w:val="20"/>
                <w:szCs w:val="20"/>
              </w:rPr>
              <w:t>med rätt till Teckning av nya Aktier;</w:t>
            </w:r>
          </w:p>
        </w:tc>
      </w:tr>
      <w:tr w:rsidR="003D4201" w:rsidRPr="009D5439" w14:paraId="46E379D4" w14:textId="77777777" w:rsidTr="008A71F4">
        <w:trPr>
          <w:tblCellSpacing w:w="7" w:type="dxa"/>
        </w:trPr>
        <w:tc>
          <w:tcPr>
            <w:tcW w:w="0" w:type="auto"/>
          </w:tcPr>
          <w:p w14:paraId="64A9E63C"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”Marknadsplats”</w:t>
            </w:r>
          </w:p>
        </w:tc>
        <w:tc>
          <w:tcPr>
            <w:tcW w:w="0" w:type="auto"/>
          </w:tcPr>
          <w:p w14:paraId="64F284F4" w14:textId="144C114C"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D50406" w:rsidRPr="00D50406">
              <w:rPr>
                <w:rFonts w:ascii="Arial" w:hAnsi="Arial" w:cs="Arial"/>
                <w:sz w:val="20"/>
                <w:szCs w:val="20"/>
              </w:rPr>
              <w:t>Nasdaq First North Growth Market</w:t>
            </w:r>
            <w:r w:rsidR="00D50406">
              <w:rPr>
                <w:rFonts w:ascii="Arial" w:hAnsi="Arial" w:cs="Arial"/>
                <w:sz w:val="20"/>
                <w:szCs w:val="20"/>
              </w:rPr>
              <w:t xml:space="preserve"> </w:t>
            </w:r>
            <w:r w:rsidR="00BB4858" w:rsidRPr="009D5439">
              <w:rPr>
                <w:rFonts w:ascii="Arial" w:hAnsi="Arial" w:cs="Arial"/>
                <w:sz w:val="20"/>
                <w:szCs w:val="20"/>
              </w:rPr>
              <w:t>eller annan liknande reglerad eller oreglerad marknad;</w:t>
            </w:r>
          </w:p>
        </w:tc>
      </w:tr>
      <w:tr w:rsidR="003D4201" w:rsidRPr="009D5439" w14:paraId="319D8603" w14:textId="77777777" w:rsidTr="008A71F4">
        <w:trPr>
          <w:tblCellSpacing w:w="7" w:type="dxa"/>
        </w:trPr>
        <w:tc>
          <w:tcPr>
            <w:tcW w:w="0" w:type="auto"/>
          </w:tcPr>
          <w:p w14:paraId="1FC59727"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”Optionsbevis”</w:t>
            </w:r>
          </w:p>
        </w:tc>
        <w:tc>
          <w:tcPr>
            <w:tcW w:w="0" w:type="auto"/>
          </w:tcPr>
          <w:p w14:paraId="7A448489" w14:textId="0A16D54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bevis till vilket knutits ett visst antal </w:t>
            </w:r>
            <w:r w:rsidR="00D101A8" w:rsidRPr="009D5439">
              <w:rPr>
                <w:rFonts w:ascii="Arial" w:hAnsi="Arial" w:cs="Arial"/>
                <w:sz w:val="20"/>
                <w:szCs w:val="20"/>
              </w:rPr>
              <w:t>Teckningsoptioner</w:t>
            </w:r>
            <w:r w:rsidR="00BB4858" w:rsidRPr="009D5439">
              <w:rPr>
                <w:rFonts w:ascii="Arial" w:hAnsi="Arial" w:cs="Arial"/>
                <w:sz w:val="20"/>
                <w:szCs w:val="20"/>
              </w:rPr>
              <w:t>;</w:t>
            </w:r>
          </w:p>
        </w:tc>
      </w:tr>
      <w:tr w:rsidR="003D4201" w:rsidRPr="009D5439" w14:paraId="598E9487" w14:textId="77777777" w:rsidTr="008A71F4">
        <w:trPr>
          <w:tblCellSpacing w:w="7" w:type="dxa"/>
        </w:trPr>
        <w:tc>
          <w:tcPr>
            <w:tcW w:w="0" w:type="auto"/>
          </w:tcPr>
          <w:p w14:paraId="032AFFE1" w14:textId="2900FC28"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w:t>
            </w:r>
            <w:r w:rsidR="00D101A8" w:rsidRPr="009D5439">
              <w:rPr>
                <w:rFonts w:ascii="Arial" w:hAnsi="Arial" w:cs="Arial"/>
                <w:b/>
                <w:sz w:val="20"/>
                <w:szCs w:val="20"/>
              </w:rPr>
              <w:t>Teckningsoption</w:t>
            </w:r>
            <w:r w:rsidRPr="009D5439">
              <w:rPr>
                <w:rFonts w:ascii="Arial" w:hAnsi="Arial" w:cs="Arial"/>
                <w:b/>
                <w:sz w:val="20"/>
                <w:szCs w:val="20"/>
              </w:rPr>
              <w:t>”</w:t>
            </w:r>
          </w:p>
        </w:tc>
        <w:tc>
          <w:tcPr>
            <w:tcW w:w="0" w:type="auto"/>
          </w:tcPr>
          <w:p w14:paraId="23A70599" w14:textId="5501A1B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rätt</w:t>
            </w:r>
            <w:r w:rsidRPr="009D5439">
              <w:rPr>
                <w:rFonts w:ascii="Arial" w:hAnsi="Arial" w:cs="Arial"/>
                <w:sz w:val="20"/>
                <w:szCs w:val="20"/>
              </w:rPr>
              <w:t>en</w:t>
            </w:r>
            <w:r w:rsidR="00BB4858" w:rsidRPr="009D5439">
              <w:rPr>
                <w:rFonts w:ascii="Arial" w:hAnsi="Arial" w:cs="Arial"/>
                <w:sz w:val="20"/>
                <w:szCs w:val="20"/>
              </w:rPr>
              <w:t xml:space="preserve"> att teckna Aktie mot kontant betalning;</w:t>
            </w:r>
          </w:p>
        </w:tc>
      </w:tr>
      <w:tr w:rsidR="003D4201" w:rsidRPr="009D5439" w14:paraId="40FF4799" w14:textId="77777777" w:rsidTr="008A71F4">
        <w:trPr>
          <w:tblCellSpacing w:w="7" w:type="dxa"/>
        </w:trPr>
        <w:tc>
          <w:tcPr>
            <w:tcW w:w="0" w:type="auto"/>
          </w:tcPr>
          <w:p w14:paraId="4DE4D6A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w:t>
            </w:r>
          </w:p>
        </w:tc>
        <w:tc>
          <w:tcPr>
            <w:tcW w:w="0" w:type="auto"/>
          </w:tcPr>
          <w:p w14:paraId="5F0AEBA7" w14:textId="25D64B9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teckning av Aktier som sker med stöd av </w:t>
            </w:r>
            <w:r w:rsidR="00D101A8" w:rsidRPr="009D5439">
              <w:rPr>
                <w:rFonts w:ascii="Arial" w:hAnsi="Arial" w:cs="Arial"/>
                <w:sz w:val="20"/>
                <w:szCs w:val="20"/>
              </w:rPr>
              <w:t>Teckningsoption</w:t>
            </w:r>
            <w:r w:rsidR="00BB4858" w:rsidRPr="009D5439">
              <w:rPr>
                <w:rFonts w:ascii="Arial" w:hAnsi="Arial" w:cs="Arial"/>
                <w:sz w:val="20"/>
                <w:szCs w:val="20"/>
              </w:rPr>
              <w:t>; och</w:t>
            </w:r>
          </w:p>
        </w:tc>
      </w:tr>
      <w:tr w:rsidR="003D4201" w:rsidRPr="009D5439" w14:paraId="591EDF09" w14:textId="77777777" w:rsidTr="008A71F4">
        <w:trPr>
          <w:tblCellSpacing w:w="7" w:type="dxa"/>
        </w:trPr>
        <w:tc>
          <w:tcPr>
            <w:tcW w:w="0" w:type="auto"/>
          </w:tcPr>
          <w:p w14:paraId="1C6AA1EF"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”Teckningskurs”</w:t>
            </w:r>
          </w:p>
        </w:tc>
        <w:tc>
          <w:tcPr>
            <w:tcW w:w="0" w:type="auto"/>
          </w:tcPr>
          <w:p w14:paraId="41D31023" w14:textId="513881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den kurs till vilken Teckning av ny Aktie kan ske</w:t>
            </w:r>
            <w:r w:rsidRPr="009D5439">
              <w:rPr>
                <w:rFonts w:ascii="Arial" w:hAnsi="Arial" w:cs="Arial"/>
                <w:sz w:val="20"/>
                <w:szCs w:val="20"/>
              </w:rPr>
              <w:t xml:space="preserve"> genom utnyttjande av </w:t>
            </w:r>
            <w:r w:rsidR="00D101A8" w:rsidRPr="009D5439">
              <w:rPr>
                <w:rFonts w:ascii="Arial" w:hAnsi="Arial" w:cs="Arial"/>
                <w:sz w:val="20"/>
                <w:szCs w:val="20"/>
              </w:rPr>
              <w:t>Teckningsoption</w:t>
            </w:r>
            <w:r w:rsidR="00BB4858" w:rsidRPr="009D5439">
              <w:rPr>
                <w:rFonts w:ascii="Arial" w:hAnsi="Arial" w:cs="Arial"/>
                <w:sz w:val="20"/>
                <w:szCs w:val="20"/>
              </w:rPr>
              <w:t>.</w:t>
            </w:r>
          </w:p>
        </w:tc>
      </w:tr>
    </w:tbl>
    <w:p w14:paraId="33CD7241" w14:textId="18621795" w:rsidR="003D4201" w:rsidRPr="009D5439" w:rsidRDefault="008A71F4" w:rsidP="006604CD">
      <w:pPr>
        <w:pStyle w:val="Rubrik2"/>
        <w:keepNext w:val="0"/>
        <w:keepLines w:val="0"/>
        <w:widowControl w:val="0"/>
        <w:spacing w:before="480"/>
        <w:jc w:val="both"/>
        <w:rPr>
          <w:rFonts w:ascii="Arial" w:hAnsi="Arial" w:cs="Arial"/>
          <w:sz w:val="20"/>
          <w:szCs w:val="20"/>
        </w:rPr>
      </w:pPr>
      <w:r>
        <w:rPr>
          <w:rFonts w:ascii="Arial" w:hAnsi="Arial" w:cs="Arial"/>
          <w:sz w:val="20"/>
          <w:szCs w:val="20"/>
        </w:rPr>
        <w:br w:type="textWrapping" w:clear="all"/>
      </w:r>
      <w:r w:rsidR="00BB4858" w:rsidRPr="009D5439">
        <w:rPr>
          <w:rFonts w:ascii="Arial" w:hAnsi="Arial" w:cs="Arial"/>
          <w:sz w:val="20"/>
          <w:szCs w:val="20"/>
        </w:rPr>
        <w:t xml:space="preserve">§ 2 </w:t>
      </w:r>
      <w:r w:rsidR="00D101A8" w:rsidRPr="009D5439">
        <w:rPr>
          <w:rFonts w:ascii="Arial" w:hAnsi="Arial" w:cs="Arial"/>
          <w:sz w:val="20"/>
          <w:szCs w:val="20"/>
        </w:rPr>
        <w:t>Teckningsoptioner</w:t>
      </w:r>
    </w:p>
    <w:p w14:paraId="6BA4EC9F" w14:textId="0F1B500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Det sammanlagda antalet </w:t>
      </w:r>
      <w:r w:rsidR="00D101A8" w:rsidRPr="009D5439">
        <w:rPr>
          <w:rFonts w:ascii="Arial" w:hAnsi="Arial" w:cs="Arial"/>
          <w:sz w:val="20"/>
          <w:szCs w:val="20"/>
        </w:rPr>
        <w:t xml:space="preserve">Teckningsoptioner </w:t>
      </w:r>
      <w:r w:rsidRPr="009D5439">
        <w:rPr>
          <w:rFonts w:ascii="Arial" w:hAnsi="Arial" w:cs="Arial"/>
          <w:sz w:val="20"/>
          <w:szCs w:val="20"/>
        </w:rPr>
        <w:t xml:space="preserve">uppgår till högst </w:t>
      </w:r>
      <w:r w:rsidR="00AF651F">
        <w:rPr>
          <w:rFonts w:ascii="Arial" w:hAnsi="Arial" w:cs="Arial"/>
          <w:sz w:val="20"/>
          <w:szCs w:val="20"/>
        </w:rPr>
        <w:t>55</w:t>
      </w:r>
      <w:r w:rsidR="00D50406">
        <w:rPr>
          <w:rFonts w:ascii="Arial" w:hAnsi="Arial" w:cs="Arial"/>
          <w:sz w:val="20"/>
          <w:szCs w:val="20"/>
        </w:rPr>
        <w:t xml:space="preserve"> 000</w:t>
      </w:r>
      <w:r w:rsidR="00DE572C" w:rsidRPr="00DE572C">
        <w:rPr>
          <w:rFonts w:ascii="Arial" w:hAnsi="Arial" w:cs="Arial"/>
          <w:sz w:val="20"/>
          <w:szCs w:val="20"/>
        </w:rPr>
        <w:t xml:space="preserve"> </w:t>
      </w:r>
      <w:r w:rsidR="003A7686" w:rsidRPr="003A7686">
        <w:rPr>
          <w:rFonts w:ascii="Arial" w:hAnsi="Arial" w:cs="Arial"/>
          <w:sz w:val="20"/>
          <w:szCs w:val="20"/>
        </w:rPr>
        <w:t>stycken</w:t>
      </w:r>
      <w:r w:rsidRPr="009D5439">
        <w:rPr>
          <w:rFonts w:ascii="Arial" w:hAnsi="Arial" w:cs="Arial"/>
          <w:sz w:val="20"/>
          <w:szCs w:val="20"/>
        </w:rPr>
        <w:t xml:space="preserve">. </w:t>
      </w:r>
      <w:r w:rsidR="00E114C5" w:rsidRPr="00E114C5">
        <w:rPr>
          <w:rFonts w:ascii="Arial" w:hAnsi="Arial" w:cs="Arial"/>
          <w:sz w:val="20"/>
          <w:szCs w:val="20"/>
        </w:rPr>
        <w:t xml:space="preserve">Bolaget håller ett register över </w:t>
      </w:r>
      <w:r w:rsidR="00E114C5">
        <w:rPr>
          <w:rFonts w:ascii="Arial" w:hAnsi="Arial" w:cs="Arial"/>
          <w:sz w:val="20"/>
          <w:szCs w:val="20"/>
        </w:rPr>
        <w:t>Teckningsoptionerna</w:t>
      </w:r>
      <w:r w:rsidR="00E114C5" w:rsidRPr="00E114C5">
        <w:rPr>
          <w:rFonts w:ascii="Arial" w:hAnsi="Arial" w:cs="Arial"/>
          <w:sz w:val="20"/>
          <w:szCs w:val="20"/>
        </w:rPr>
        <w:t>. Om Innehavare begär det kan som representation för Teckningsoption ett Optionsbevis ställt till viss man eller order lämnas till Innehavaren</w:t>
      </w:r>
      <w:r w:rsidRPr="009D5439">
        <w:rPr>
          <w:rFonts w:ascii="Arial" w:hAnsi="Arial" w:cs="Arial"/>
          <w:sz w:val="20"/>
          <w:szCs w:val="20"/>
        </w:rPr>
        <w:t>.</w:t>
      </w:r>
    </w:p>
    <w:p w14:paraId="311674C4" w14:textId="4045108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får Bolagets styrelse fatta beslut om att </w:t>
      </w:r>
      <w:r w:rsidR="00D101A8" w:rsidRPr="009D5439">
        <w:rPr>
          <w:rFonts w:ascii="Arial" w:hAnsi="Arial" w:cs="Arial"/>
          <w:sz w:val="20"/>
          <w:szCs w:val="20"/>
        </w:rPr>
        <w:t xml:space="preserve">Teckningsoptionerna </w:t>
      </w:r>
      <w:r w:rsidRPr="009D5439">
        <w:rPr>
          <w:rFonts w:ascii="Arial" w:hAnsi="Arial" w:cs="Arial"/>
          <w:sz w:val="20"/>
          <w:szCs w:val="20"/>
        </w:rPr>
        <w:t xml:space="preserve">ska registreras på Avstämningskonto. Vid sådant förhållande ska inga Optionsbevis eller andra värdepapper ges ut. Innehavare ska på Bolagets anmaning vara skyldig att omedelbart till Bolaget inlämna samtliga Optionsbevis representerande </w:t>
      </w:r>
      <w:r w:rsidR="00D101A8" w:rsidRPr="009D5439">
        <w:rPr>
          <w:rFonts w:ascii="Arial" w:hAnsi="Arial" w:cs="Arial"/>
          <w:sz w:val="20"/>
          <w:szCs w:val="20"/>
        </w:rPr>
        <w:t xml:space="preserve">Teckningsoptioner </w:t>
      </w:r>
      <w:r w:rsidRPr="009D5439">
        <w:rPr>
          <w:rFonts w:ascii="Arial" w:hAnsi="Arial" w:cs="Arial"/>
          <w:sz w:val="20"/>
          <w:szCs w:val="20"/>
        </w:rPr>
        <w:t xml:space="preserve">samt meddela Bolaget erforderliga uppgifter om värdepapperskonto på vilket Innehavarens </w:t>
      </w:r>
      <w:r w:rsidR="00D101A8" w:rsidRPr="009D5439">
        <w:rPr>
          <w:rFonts w:ascii="Arial" w:hAnsi="Arial" w:cs="Arial"/>
          <w:sz w:val="20"/>
          <w:szCs w:val="20"/>
        </w:rPr>
        <w:t xml:space="preserve">Teckningsoptioner </w:t>
      </w:r>
      <w:r w:rsidRPr="009D5439">
        <w:rPr>
          <w:rFonts w:ascii="Arial" w:hAnsi="Arial" w:cs="Arial"/>
          <w:sz w:val="20"/>
          <w:szCs w:val="20"/>
        </w:rPr>
        <w:t>ska registreras.</w:t>
      </w:r>
    </w:p>
    <w:p w14:paraId="458A5759" w14:textId="3497D35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För det fall Bolagets styrelse fattat beslut enligt andra stycket ovan, ska styrelsen därefter vara oförhindrad att, med de begränsningar som må följa av lag eller annan författning, fatta beslut om att </w:t>
      </w:r>
      <w:r w:rsidR="00D101A8" w:rsidRPr="009D5439">
        <w:rPr>
          <w:rFonts w:ascii="Arial" w:hAnsi="Arial" w:cs="Arial"/>
          <w:sz w:val="20"/>
          <w:szCs w:val="20"/>
        </w:rPr>
        <w:t xml:space="preserve">Teckningsoptionerna </w:t>
      </w:r>
      <w:r w:rsidRPr="009D5439">
        <w:rPr>
          <w:rFonts w:ascii="Arial" w:hAnsi="Arial" w:cs="Arial"/>
          <w:sz w:val="20"/>
          <w:szCs w:val="20"/>
        </w:rPr>
        <w:t>inte längre ska vara registrerade på Avstämningskonto.</w:t>
      </w:r>
    </w:p>
    <w:p w14:paraId="0198881E" w14:textId="77777777" w:rsidR="003A7686" w:rsidRDefault="003A7686">
      <w:pPr>
        <w:spacing w:before="0" w:after="200" w:line="276" w:lineRule="auto"/>
        <w:rPr>
          <w:rFonts w:ascii="Arial" w:eastAsiaTheme="majorEastAsia" w:hAnsi="Arial" w:cs="Arial"/>
          <w:b/>
          <w:sz w:val="20"/>
          <w:szCs w:val="20"/>
        </w:rPr>
      </w:pPr>
      <w:r>
        <w:rPr>
          <w:rFonts w:ascii="Arial" w:hAnsi="Arial" w:cs="Arial"/>
          <w:sz w:val="20"/>
          <w:szCs w:val="20"/>
        </w:rPr>
        <w:br w:type="page"/>
      </w:r>
    </w:p>
    <w:p w14:paraId="6745CA7F" w14:textId="1B1D0754"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lastRenderedPageBreak/>
        <w:t>§ 3 Rätt att teckna nya Aktier</w:t>
      </w:r>
      <w:r w:rsidR="00647096">
        <w:rPr>
          <w:rFonts w:ascii="Arial" w:hAnsi="Arial" w:cs="Arial"/>
          <w:sz w:val="20"/>
          <w:szCs w:val="20"/>
        </w:rPr>
        <w:t xml:space="preserve"> och </w:t>
      </w:r>
      <w:r w:rsidR="00FB7419">
        <w:rPr>
          <w:rFonts w:ascii="Arial" w:hAnsi="Arial" w:cs="Arial"/>
          <w:sz w:val="20"/>
          <w:szCs w:val="20"/>
        </w:rPr>
        <w:t>Teckningskurs</w:t>
      </w:r>
    </w:p>
    <w:p w14:paraId="7B7649D1" w14:textId="233B83F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Innehavaren </w:t>
      </w:r>
      <w:r w:rsidR="00143821" w:rsidRPr="00143821">
        <w:rPr>
          <w:rFonts w:ascii="Arial" w:hAnsi="Arial" w:cs="Arial"/>
          <w:sz w:val="20"/>
          <w:szCs w:val="20"/>
        </w:rPr>
        <w:t xml:space="preserve">ska ha rätt att under perioden från och med den </w:t>
      </w:r>
      <w:r w:rsidR="00E503E2">
        <w:rPr>
          <w:rFonts w:ascii="Arial" w:hAnsi="Arial" w:cs="Arial"/>
          <w:sz w:val="20"/>
          <w:szCs w:val="20"/>
        </w:rPr>
        <w:t>30</w:t>
      </w:r>
      <w:r w:rsidR="00143821" w:rsidRPr="00143821">
        <w:rPr>
          <w:rFonts w:ascii="Arial" w:hAnsi="Arial" w:cs="Arial"/>
          <w:sz w:val="20"/>
          <w:szCs w:val="20"/>
        </w:rPr>
        <w:t xml:space="preserve"> </w:t>
      </w:r>
      <w:r w:rsidR="00E503E2">
        <w:rPr>
          <w:rFonts w:ascii="Arial" w:hAnsi="Arial" w:cs="Arial"/>
          <w:sz w:val="20"/>
          <w:szCs w:val="20"/>
        </w:rPr>
        <w:t>september</w:t>
      </w:r>
      <w:r w:rsidR="00143821" w:rsidRPr="00143821">
        <w:rPr>
          <w:rFonts w:ascii="Arial" w:hAnsi="Arial" w:cs="Arial"/>
          <w:sz w:val="20"/>
          <w:szCs w:val="20"/>
        </w:rPr>
        <w:t xml:space="preserve"> 2025 till och med den </w:t>
      </w:r>
      <w:r w:rsidR="00E503E2">
        <w:rPr>
          <w:rFonts w:ascii="Arial" w:hAnsi="Arial" w:cs="Arial"/>
          <w:sz w:val="20"/>
          <w:szCs w:val="20"/>
        </w:rPr>
        <w:t>30</w:t>
      </w:r>
      <w:r w:rsidR="00143821" w:rsidRPr="00143821">
        <w:rPr>
          <w:rFonts w:ascii="Arial" w:hAnsi="Arial" w:cs="Arial"/>
          <w:sz w:val="20"/>
          <w:szCs w:val="20"/>
        </w:rPr>
        <w:t xml:space="preserve"> </w:t>
      </w:r>
      <w:r w:rsidR="00E503E2">
        <w:rPr>
          <w:rFonts w:ascii="Arial" w:hAnsi="Arial" w:cs="Arial"/>
          <w:sz w:val="20"/>
          <w:szCs w:val="20"/>
        </w:rPr>
        <w:t>november</w:t>
      </w:r>
      <w:r w:rsidR="00143821" w:rsidRPr="00143821">
        <w:rPr>
          <w:rFonts w:ascii="Arial" w:hAnsi="Arial" w:cs="Arial"/>
          <w:sz w:val="20"/>
          <w:szCs w:val="20"/>
        </w:rPr>
        <w:t xml:space="preserve"> 2025, eller till och med den tidigare eller senare dag som kan följa av § 8 nedan, för varje Teckningsoption teckna en (1) ny Aktie till en Teckningskurs om femtio (50) kronor per Aktie, vilket motsvarar 168,9% av den volymviktade genomsnittskursen </w:t>
      </w:r>
      <w:r w:rsidR="00A30E08">
        <w:rPr>
          <w:rFonts w:ascii="Arial" w:hAnsi="Arial" w:cs="Arial"/>
          <w:sz w:val="20"/>
          <w:szCs w:val="20"/>
        </w:rPr>
        <w:t xml:space="preserve">för Bolagets Aktie </w:t>
      </w:r>
      <w:r w:rsidR="00143821" w:rsidRPr="00143821">
        <w:rPr>
          <w:rFonts w:ascii="Arial" w:hAnsi="Arial" w:cs="Arial"/>
          <w:sz w:val="20"/>
          <w:szCs w:val="20"/>
        </w:rPr>
        <w:t xml:space="preserve">på Marknadsplatsen under perioden </w:t>
      </w:r>
      <w:r w:rsidR="004B40E2">
        <w:rPr>
          <w:rFonts w:ascii="Arial" w:hAnsi="Arial" w:cs="Arial"/>
          <w:sz w:val="20"/>
          <w:szCs w:val="20"/>
        </w:rPr>
        <w:t xml:space="preserve">från och med den </w:t>
      </w:r>
      <w:r w:rsidR="00143821" w:rsidRPr="00143821">
        <w:rPr>
          <w:rFonts w:ascii="Arial" w:hAnsi="Arial" w:cs="Arial"/>
          <w:sz w:val="20"/>
          <w:szCs w:val="20"/>
        </w:rPr>
        <w:t>17 augusti 2022 till och med den 5 september 2022</w:t>
      </w:r>
      <w:r w:rsidR="00044CD4" w:rsidRPr="00044CD4">
        <w:rPr>
          <w:rFonts w:ascii="Arial" w:hAnsi="Arial" w:cs="Arial"/>
          <w:sz w:val="20"/>
          <w:szCs w:val="20"/>
        </w:rPr>
        <w:t xml:space="preserve">. </w:t>
      </w:r>
      <w:r w:rsidR="00E114C5" w:rsidRPr="00E114C5">
        <w:rPr>
          <w:rFonts w:ascii="Arial" w:hAnsi="Arial" w:cs="Arial"/>
          <w:sz w:val="20"/>
          <w:szCs w:val="20"/>
        </w:rPr>
        <w:t xml:space="preserve">Teckningskursen får dock aldrig understiga </w:t>
      </w:r>
      <w:r w:rsidR="00D6258F">
        <w:rPr>
          <w:rFonts w:ascii="Arial" w:hAnsi="Arial" w:cs="Arial"/>
          <w:sz w:val="20"/>
          <w:szCs w:val="20"/>
        </w:rPr>
        <w:t>A</w:t>
      </w:r>
      <w:r w:rsidR="00E114C5" w:rsidRPr="00E114C5">
        <w:rPr>
          <w:rFonts w:ascii="Arial" w:hAnsi="Arial" w:cs="Arial"/>
          <w:sz w:val="20"/>
          <w:szCs w:val="20"/>
        </w:rPr>
        <w:t>ktiens kvotvärde.</w:t>
      </w:r>
      <w:r w:rsidR="00E114C5">
        <w:rPr>
          <w:rFonts w:ascii="Arial" w:hAnsi="Arial" w:cs="Arial"/>
          <w:sz w:val="20"/>
          <w:szCs w:val="20"/>
        </w:rPr>
        <w:t xml:space="preserve"> </w:t>
      </w:r>
      <w:r w:rsidRPr="009D5439">
        <w:rPr>
          <w:rFonts w:ascii="Arial" w:hAnsi="Arial" w:cs="Arial"/>
          <w:sz w:val="20"/>
          <w:szCs w:val="20"/>
        </w:rPr>
        <w:t xml:space="preserve">Omräkning av Teckningskurs liksom av det antal nya Aktier som varje </w:t>
      </w:r>
      <w:r w:rsidR="00D101A8" w:rsidRPr="009D5439">
        <w:rPr>
          <w:rFonts w:ascii="Arial" w:hAnsi="Arial" w:cs="Arial"/>
          <w:sz w:val="20"/>
          <w:szCs w:val="20"/>
        </w:rPr>
        <w:t xml:space="preserve">Teckningsoption </w:t>
      </w:r>
      <w:r w:rsidRPr="009D5439">
        <w:rPr>
          <w:rFonts w:ascii="Arial" w:hAnsi="Arial" w:cs="Arial"/>
          <w:sz w:val="20"/>
          <w:szCs w:val="20"/>
        </w:rPr>
        <w:t>berättigar till Teckning av, kan äga rum i de fall som framgår av § 8 nedan.</w:t>
      </w:r>
    </w:p>
    <w:p w14:paraId="03FAD569" w14:textId="6D6B522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ska vara skyldigt att om Innehavare så påkallar under ovan angiven tid, emittera det antal Aktier som avses med anmälan om Teckning.</w:t>
      </w:r>
    </w:p>
    <w:p w14:paraId="493A98D3" w14:textId="413F19FF" w:rsidR="005306D6" w:rsidRPr="009D5439" w:rsidRDefault="005306D6" w:rsidP="00435C87">
      <w:pPr>
        <w:widowControl w:val="0"/>
        <w:spacing w:before="120"/>
        <w:jc w:val="both"/>
        <w:rPr>
          <w:rFonts w:ascii="Arial" w:hAnsi="Arial" w:cs="Arial"/>
          <w:sz w:val="20"/>
          <w:szCs w:val="20"/>
        </w:rPr>
      </w:pPr>
      <w:r w:rsidRPr="009D5439">
        <w:rPr>
          <w:rFonts w:ascii="Arial" w:hAnsi="Arial" w:cs="Arial"/>
          <w:sz w:val="20"/>
          <w:szCs w:val="20"/>
        </w:rPr>
        <w:t xml:space="preserve">Teckning kan endast ske av det hela antal Aktier, vartill det sammanlagda antalet </w:t>
      </w:r>
      <w:r w:rsidR="00D74262" w:rsidRPr="009D5439">
        <w:rPr>
          <w:rFonts w:ascii="Arial" w:hAnsi="Arial" w:cs="Arial"/>
          <w:sz w:val="20"/>
          <w:szCs w:val="20"/>
        </w:rPr>
        <w:t xml:space="preserve">Teckningsoptioner </w:t>
      </w:r>
      <w:r w:rsidRPr="009D5439">
        <w:rPr>
          <w:rFonts w:ascii="Arial" w:hAnsi="Arial" w:cs="Arial"/>
          <w:sz w:val="20"/>
          <w:szCs w:val="20"/>
        </w:rPr>
        <w:t xml:space="preserve">berättigar och som en och samma Innehavare önskar utnyttja. Vid sådan Teckning ska bortses från eventuell överskjutande del av </w:t>
      </w:r>
      <w:r w:rsidR="00D74262" w:rsidRPr="009D5439">
        <w:rPr>
          <w:rFonts w:ascii="Arial" w:hAnsi="Arial" w:cs="Arial"/>
          <w:sz w:val="20"/>
          <w:szCs w:val="20"/>
        </w:rPr>
        <w:t>Teckningsoption</w:t>
      </w:r>
      <w:r w:rsidRPr="009D5439">
        <w:rPr>
          <w:rFonts w:ascii="Arial" w:hAnsi="Arial" w:cs="Arial"/>
          <w:sz w:val="20"/>
          <w:szCs w:val="20"/>
        </w:rPr>
        <w:t>, som inte kan utnyttjas.</w:t>
      </w:r>
    </w:p>
    <w:p w14:paraId="48D9C1A2"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4 Teckning av Aktier</w:t>
      </w:r>
    </w:p>
    <w:p w14:paraId="64E64F4C" w14:textId="3C73561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 </w:t>
      </w:r>
      <w:r w:rsidR="005306D6" w:rsidRPr="009D5439">
        <w:rPr>
          <w:rFonts w:ascii="Arial" w:hAnsi="Arial" w:cs="Arial"/>
          <w:sz w:val="20"/>
          <w:szCs w:val="20"/>
        </w:rPr>
        <w:t xml:space="preserve">som </w:t>
      </w:r>
      <w:r w:rsidRPr="009D5439">
        <w:rPr>
          <w:rFonts w:ascii="Arial" w:hAnsi="Arial" w:cs="Arial"/>
          <w:sz w:val="20"/>
          <w:szCs w:val="20"/>
        </w:rPr>
        <w:t xml:space="preserve">Bolaget är Avstämningsbolag och </w:t>
      </w:r>
      <w:r w:rsidR="00D74262" w:rsidRPr="009D5439">
        <w:rPr>
          <w:rFonts w:ascii="Arial" w:hAnsi="Arial" w:cs="Arial"/>
          <w:sz w:val="20"/>
          <w:szCs w:val="20"/>
        </w:rPr>
        <w:t xml:space="preserve">Teckningsoption </w:t>
      </w:r>
      <w:r w:rsidRPr="009D5439">
        <w:rPr>
          <w:rFonts w:ascii="Arial" w:hAnsi="Arial" w:cs="Arial"/>
          <w:sz w:val="20"/>
          <w:szCs w:val="20"/>
        </w:rPr>
        <w:t>är registrerad på Avstämningskonto ska följande gälla. Vid Teckning ska ifylld anmälningssedel enligt fastställt formulär inges till Bolaget eller ett av Bolaget anvisat kontoförande institut.</w:t>
      </w:r>
    </w:p>
    <w:p w14:paraId="727D0294" w14:textId="07B6168F" w:rsidR="003D4201"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eller om </w:t>
      </w:r>
      <w:r w:rsidR="00D74262" w:rsidRPr="009D5439">
        <w:rPr>
          <w:rFonts w:ascii="Arial" w:hAnsi="Arial" w:cs="Arial"/>
          <w:sz w:val="20"/>
          <w:szCs w:val="20"/>
        </w:rPr>
        <w:t xml:space="preserve">Teckningsoption </w:t>
      </w:r>
      <w:r w:rsidRPr="009D5439">
        <w:rPr>
          <w:rFonts w:ascii="Arial" w:hAnsi="Arial" w:cs="Arial"/>
          <w:sz w:val="20"/>
          <w:szCs w:val="20"/>
        </w:rPr>
        <w:t xml:space="preserve">inte är registrerad på Avstämningskonto ska Teckning ske genom skriftlig anmälan på teckningslista till Bolaget varvid antalet </w:t>
      </w:r>
      <w:r w:rsidR="00D74262" w:rsidRPr="009D5439">
        <w:rPr>
          <w:rFonts w:ascii="Arial" w:hAnsi="Arial" w:cs="Arial"/>
          <w:sz w:val="20"/>
          <w:szCs w:val="20"/>
        </w:rPr>
        <w:t xml:space="preserve">Teckningsoptioner </w:t>
      </w:r>
      <w:r w:rsidRPr="009D5439">
        <w:rPr>
          <w:rFonts w:ascii="Arial" w:hAnsi="Arial" w:cs="Arial"/>
          <w:sz w:val="20"/>
          <w:szCs w:val="20"/>
        </w:rPr>
        <w:t>som utnyttjas ska anges. Vid Teckning ska Innehavare i förekommande fall inlämna motsvarande Optionsbevis till Bolaget.</w:t>
      </w:r>
    </w:p>
    <w:p w14:paraId="6F8C27BE" w14:textId="527B0B60" w:rsidR="00647096" w:rsidRPr="009D5439" w:rsidRDefault="00647096" w:rsidP="00435C87">
      <w:pPr>
        <w:widowControl w:val="0"/>
        <w:spacing w:before="120"/>
        <w:jc w:val="both"/>
        <w:rPr>
          <w:rFonts w:ascii="Arial" w:hAnsi="Arial" w:cs="Arial"/>
          <w:sz w:val="20"/>
          <w:szCs w:val="20"/>
        </w:rPr>
      </w:pPr>
      <w:r w:rsidRPr="00647096">
        <w:rPr>
          <w:rFonts w:ascii="Arial" w:hAnsi="Arial" w:cs="Arial"/>
          <w:sz w:val="20"/>
          <w:szCs w:val="20"/>
        </w:rPr>
        <w:t xml:space="preserve">Är </w:t>
      </w:r>
      <w:r w:rsidR="009C5D2B">
        <w:rPr>
          <w:rFonts w:ascii="Arial" w:hAnsi="Arial" w:cs="Arial"/>
          <w:sz w:val="20"/>
          <w:szCs w:val="20"/>
        </w:rPr>
        <w:t>I</w:t>
      </w:r>
      <w:r w:rsidRPr="00647096">
        <w:rPr>
          <w:rFonts w:ascii="Arial" w:hAnsi="Arial" w:cs="Arial"/>
          <w:sz w:val="20"/>
          <w:szCs w:val="20"/>
        </w:rPr>
        <w:t xml:space="preserve">nnehavare </w:t>
      </w:r>
      <w:r w:rsidRPr="00647096">
        <w:rPr>
          <w:rFonts w:ascii="Arial" w:hAnsi="Arial" w:cs="Arial"/>
          <w:sz w:val="20"/>
          <w:szCs w:val="20"/>
        </w:rPr>
        <w:t>förhindrad</w:t>
      </w:r>
      <w:r w:rsidRPr="00647096">
        <w:rPr>
          <w:rFonts w:ascii="Arial" w:hAnsi="Arial" w:cs="Arial"/>
          <w:sz w:val="20"/>
          <w:szCs w:val="20"/>
        </w:rPr>
        <w:t xml:space="preserve"> att teckna </w:t>
      </w:r>
      <w:r w:rsidR="009C5D2B">
        <w:rPr>
          <w:rFonts w:ascii="Arial" w:hAnsi="Arial" w:cs="Arial"/>
          <w:sz w:val="20"/>
          <w:szCs w:val="20"/>
        </w:rPr>
        <w:t>A</w:t>
      </w:r>
      <w:r w:rsidRPr="00647096">
        <w:rPr>
          <w:rFonts w:ascii="Arial" w:hAnsi="Arial" w:cs="Arial"/>
          <w:sz w:val="20"/>
          <w:szCs w:val="20"/>
        </w:rPr>
        <w:t xml:space="preserve">ktier under den period som anges i § </w:t>
      </w:r>
      <w:r>
        <w:rPr>
          <w:rFonts w:ascii="Arial" w:hAnsi="Arial" w:cs="Arial"/>
          <w:sz w:val="20"/>
          <w:szCs w:val="20"/>
        </w:rPr>
        <w:t>3 ovan</w:t>
      </w:r>
      <w:r w:rsidRPr="00647096">
        <w:rPr>
          <w:rFonts w:ascii="Arial" w:hAnsi="Arial" w:cs="Arial"/>
          <w:sz w:val="20"/>
          <w:szCs w:val="20"/>
        </w:rPr>
        <w:t xml:space="preserve"> på grund av bestämmelser i marknadsmissbruksförordning (596/2014/EU), lag (2016:1307) om straff för marknadsmissbruk på </w:t>
      </w:r>
      <w:r w:rsidR="009C5D2B" w:rsidRPr="00647096">
        <w:rPr>
          <w:rFonts w:ascii="Arial" w:hAnsi="Arial" w:cs="Arial"/>
          <w:sz w:val="20"/>
          <w:szCs w:val="20"/>
        </w:rPr>
        <w:t>värdepappersmarknaden</w:t>
      </w:r>
      <w:r w:rsidRPr="00647096">
        <w:rPr>
          <w:rFonts w:ascii="Arial" w:hAnsi="Arial" w:cs="Arial"/>
          <w:sz w:val="20"/>
          <w:szCs w:val="20"/>
        </w:rPr>
        <w:t xml:space="preserve">, lag (2016:1306) med kompletterande bestämmelser till EU:s marknadsmissbruksförordning eller annan på Bolaget </w:t>
      </w:r>
      <w:r w:rsidR="009C5D2B" w:rsidRPr="00647096">
        <w:rPr>
          <w:rFonts w:ascii="Arial" w:hAnsi="Arial" w:cs="Arial"/>
          <w:sz w:val="20"/>
          <w:szCs w:val="20"/>
        </w:rPr>
        <w:t>tillämplig</w:t>
      </w:r>
      <w:r w:rsidRPr="00647096">
        <w:rPr>
          <w:rFonts w:ascii="Arial" w:hAnsi="Arial" w:cs="Arial"/>
          <w:sz w:val="20"/>
          <w:szCs w:val="20"/>
        </w:rPr>
        <w:t xml:space="preserve"> insiderlagstiftning ska Bolaget äga rätt att medge att sådan </w:t>
      </w:r>
      <w:r w:rsidR="009C5D2B">
        <w:rPr>
          <w:rFonts w:ascii="Arial" w:hAnsi="Arial" w:cs="Arial"/>
          <w:sz w:val="20"/>
          <w:szCs w:val="20"/>
        </w:rPr>
        <w:t>I</w:t>
      </w:r>
      <w:r w:rsidRPr="00647096">
        <w:rPr>
          <w:rFonts w:ascii="Arial" w:hAnsi="Arial" w:cs="Arial"/>
          <w:sz w:val="20"/>
          <w:szCs w:val="20"/>
        </w:rPr>
        <w:t xml:space="preserve">nnehavare </w:t>
      </w:r>
      <w:r w:rsidR="009C5D2B" w:rsidRPr="00647096">
        <w:rPr>
          <w:rFonts w:ascii="Arial" w:hAnsi="Arial" w:cs="Arial"/>
          <w:sz w:val="20"/>
          <w:szCs w:val="20"/>
        </w:rPr>
        <w:t>istället</w:t>
      </w:r>
      <w:r w:rsidRPr="00647096">
        <w:rPr>
          <w:rFonts w:ascii="Arial" w:hAnsi="Arial" w:cs="Arial"/>
          <w:sz w:val="20"/>
          <w:szCs w:val="20"/>
        </w:rPr>
        <w:t xml:space="preserve"> får teckna </w:t>
      </w:r>
      <w:r w:rsidR="009C5D2B">
        <w:rPr>
          <w:rFonts w:ascii="Arial" w:hAnsi="Arial" w:cs="Arial"/>
          <w:sz w:val="20"/>
          <w:szCs w:val="20"/>
        </w:rPr>
        <w:t>A</w:t>
      </w:r>
      <w:r w:rsidRPr="00647096">
        <w:rPr>
          <w:rFonts w:ascii="Arial" w:hAnsi="Arial" w:cs="Arial"/>
          <w:sz w:val="20"/>
          <w:szCs w:val="20"/>
        </w:rPr>
        <w:t xml:space="preserve">ktier så snart denne inte längre är </w:t>
      </w:r>
      <w:r w:rsidR="009C5D2B" w:rsidRPr="00647096">
        <w:rPr>
          <w:rFonts w:ascii="Arial" w:hAnsi="Arial" w:cs="Arial"/>
          <w:sz w:val="20"/>
          <w:szCs w:val="20"/>
        </w:rPr>
        <w:t>förhindrad</w:t>
      </w:r>
      <w:r w:rsidRPr="00647096">
        <w:rPr>
          <w:rFonts w:ascii="Arial" w:hAnsi="Arial" w:cs="Arial"/>
          <w:sz w:val="20"/>
          <w:szCs w:val="20"/>
        </w:rPr>
        <w:t xml:space="preserve"> att göra det, dock senast </w:t>
      </w:r>
      <w:r w:rsidR="009C5D2B">
        <w:rPr>
          <w:rFonts w:ascii="Arial" w:hAnsi="Arial" w:cs="Arial"/>
          <w:sz w:val="20"/>
          <w:szCs w:val="20"/>
        </w:rPr>
        <w:t>trettio (</w:t>
      </w:r>
      <w:r w:rsidRPr="00647096">
        <w:rPr>
          <w:rFonts w:ascii="Arial" w:hAnsi="Arial" w:cs="Arial"/>
          <w:sz w:val="20"/>
          <w:szCs w:val="20"/>
        </w:rPr>
        <w:t>30</w:t>
      </w:r>
      <w:r w:rsidR="009C5D2B">
        <w:rPr>
          <w:rFonts w:ascii="Arial" w:hAnsi="Arial" w:cs="Arial"/>
          <w:sz w:val="20"/>
          <w:szCs w:val="20"/>
        </w:rPr>
        <w:t>)</w:t>
      </w:r>
      <w:r w:rsidRPr="00647096">
        <w:rPr>
          <w:rFonts w:ascii="Arial" w:hAnsi="Arial" w:cs="Arial"/>
          <w:sz w:val="20"/>
          <w:szCs w:val="20"/>
        </w:rPr>
        <w:t xml:space="preserve"> kalenderdagar efter sådant hinder har </w:t>
      </w:r>
      <w:r w:rsidR="009C5D2B" w:rsidRPr="00647096">
        <w:rPr>
          <w:rFonts w:ascii="Arial" w:hAnsi="Arial" w:cs="Arial"/>
          <w:sz w:val="20"/>
          <w:szCs w:val="20"/>
        </w:rPr>
        <w:t>upphört</w:t>
      </w:r>
      <w:r w:rsidR="009C5D2B">
        <w:rPr>
          <w:rFonts w:ascii="Arial" w:hAnsi="Arial" w:cs="Arial"/>
          <w:sz w:val="20"/>
          <w:szCs w:val="20"/>
        </w:rPr>
        <w:t>.</w:t>
      </w:r>
    </w:p>
    <w:p w14:paraId="40D8DE27"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5 Betalning</w:t>
      </w:r>
    </w:p>
    <w:p w14:paraId="5ACF57B5" w14:textId="2548A0B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w:t>
      </w:r>
      <w:r w:rsidR="00D03A26" w:rsidRPr="009D5439">
        <w:rPr>
          <w:rFonts w:ascii="Arial" w:hAnsi="Arial" w:cs="Arial"/>
          <w:sz w:val="20"/>
          <w:szCs w:val="20"/>
        </w:rPr>
        <w:t xml:space="preserve">anmälan om </w:t>
      </w:r>
      <w:r w:rsidRPr="009D5439">
        <w:rPr>
          <w:rFonts w:ascii="Arial" w:hAnsi="Arial" w:cs="Arial"/>
          <w:sz w:val="20"/>
          <w:szCs w:val="20"/>
        </w:rPr>
        <w:t xml:space="preserve">Teckning ska betalning samtidigt erläggas för det antal Aktier som </w:t>
      </w:r>
      <w:r w:rsidR="00D03A26" w:rsidRPr="009D5439">
        <w:rPr>
          <w:rFonts w:ascii="Arial" w:hAnsi="Arial" w:cs="Arial"/>
          <w:sz w:val="20"/>
          <w:szCs w:val="20"/>
        </w:rPr>
        <w:t xml:space="preserve">anmälan om </w:t>
      </w:r>
      <w:r w:rsidRPr="009D5439">
        <w:rPr>
          <w:rFonts w:ascii="Arial" w:hAnsi="Arial" w:cs="Arial"/>
          <w:sz w:val="20"/>
          <w:szCs w:val="20"/>
        </w:rPr>
        <w:t>Teckningen avser.</w:t>
      </w:r>
      <w:r w:rsidR="00D03A26" w:rsidRPr="009D5439">
        <w:rPr>
          <w:rFonts w:ascii="Arial" w:hAnsi="Arial" w:cs="Arial"/>
          <w:sz w:val="20"/>
          <w:szCs w:val="20"/>
        </w:rPr>
        <w:t xml:space="preserve"> Betalning ska ske kontant till ett av Bolaget anvisat bankkonto. </w:t>
      </w:r>
    </w:p>
    <w:p w14:paraId="5F6496EA"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6 Införande i aktiebok m.m.</w:t>
      </w:r>
    </w:p>
    <w:p w14:paraId="30FE78E2"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2D7042D4"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Teckningen, verkställs Teckning och tilldelning genom att de nya Aktierna tas upp i Bolagets aktiebok varefter registrering ska ske hos Bolagsverket.</w:t>
      </w:r>
    </w:p>
    <w:p w14:paraId="46C098DB"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7 Rätt till vinstutdelning</w:t>
      </w:r>
    </w:p>
    <w:p w14:paraId="65B4DB3A" w14:textId="28A19FB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medför Aktie som tillkommit på grund av Teckning rätt till vinstutdelning första gången på den avstämningsdag för utdelning som infaller närmast efter det att </w:t>
      </w:r>
      <w:r w:rsidR="001547BD">
        <w:rPr>
          <w:rFonts w:ascii="Arial" w:hAnsi="Arial" w:cs="Arial"/>
          <w:sz w:val="20"/>
          <w:szCs w:val="20"/>
        </w:rPr>
        <w:t xml:space="preserve">de ny Aktierna </w:t>
      </w:r>
      <w:r w:rsidR="001547BD" w:rsidRPr="001547BD">
        <w:rPr>
          <w:rFonts w:ascii="Arial" w:hAnsi="Arial" w:cs="Arial"/>
          <w:sz w:val="20"/>
          <w:szCs w:val="20"/>
        </w:rPr>
        <w:t>har registrerats vid Bolagsverket och eventuellt förts in i den av Euroclear Sweden AB förda aktieboken</w:t>
      </w:r>
      <w:r w:rsidRPr="009D5439">
        <w:rPr>
          <w:rFonts w:ascii="Arial" w:hAnsi="Arial" w:cs="Arial"/>
          <w:sz w:val="20"/>
          <w:szCs w:val="20"/>
        </w:rPr>
        <w:t>.</w:t>
      </w:r>
    </w:p>
    <w:p w14:paraId="664B3FD2" w14:textId="5A0DF22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medför Aktie som tillkommit på grund av Teckning i förekommande fall rätt till vinstutdelning första gången på närmast följande bolagsstämma efter det att </w:t>
      </w:r>
      <w:r w:rsidR="001547BD" w:rsidRPr="001547BD">
        <w:rPr>
          <w:rFonts w:ascii="Arial" w:hAnsi="Arial" w:cs="Arial"/>
          <w:sz w:val="20"/>
          <w:szCs w:val="20"/>
        </w:rPr>
        <w:t>de ny Aktierna har registrerats vid Bolagsverket</w:t>
      </w:r>
      <w:r w:rsidRPr="009D5439">
        <w:rPr>
          <w:rFonts w:ascii="Arial" w:hAnsi="Arial" w:cs="Arial"/>
          <w:sz w:val="20"/>
          <w:szCs w:val="20"/>
        </w:rPr>
        <w:t>.</w:t>
      </w:r>
    </w:p>
    <w:p w14:paraId="6FDC4FE0"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8 Omräkning av Teckningskurs m.m.</w:t>
      </w:r>
    </w:p>
    <w:p w14:paraId="71F1367D"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någon av nedan angivna åtgärder gäller, beträffande den rätt som tillkommer Innehavare, vad som följer enligt nedan.</w:t>
      </w:r>
    </w:p>
    <w:p w14:paraId="4DC44BD3"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 xml:space="preserve">Inte i något fall ska dock omräkning enligt bestämmelserna i denna § 8 kunna leda till att Teckningskursen understiger </w:t>
      </w:r>
      <w:r w:rsidR="00AE6BE5" w:rsidRPr="009D5439">
        <w:rPr>
          <w:rFonts w:ascii="Arial" w:hAnsi="Arial" w:cs="Arial"/>
          <w:sz w:val="20"/>
          <w:szCs w:val="20"/>
        </w:rPr>
        <w:t>kvotvärdet</w:t>
      </w:r>
      <w:r w:rsidRPr="009D5439">
        <w:rPr>
          <w:rFonts w:ascii="Arial" w:hAnsi="Arial" w:cs="Arial"/>
          <w:sz w:val="20"/>
          <w:szCs w:val="20"/>
        </w:rPr>
        <w:t xml:space="preserve"> på Bolagets Aktier.</w:t>
      </w:r>
    </w:p>
    <w:p w14:paraId="7E9DC59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A. Fondemission</w:t>
      </w:r>
    </w:p>
    <w:p w14:paraId="05B19623" w14:textId="0061071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en fondemission ska Teckning – där Teckning görs på sådan tid, att den inte kan verkställas senast tre</w:t>
      </w:r>
      <w:r w:rsidR="00D03A26" w:rsidRPr="009D5439">
        <w:rPr>
          <w:rFonts w:ascii="Arial" w:hAnsi="Arial" w:cs="Arial"/>
          <w:sz w:val="20"/>
          <w:szCs w:val="20"/>
        </w:rPr>
        <w:t xml:space="preserve"> (3)</w:t>
      </w:r>
      <w:r w:rsidRPr="009D5439">
        <w:rPr>
          <w:rFonts w:ascii="Arial" w:hAnsi="Arial" w:cs="Arial"/>
          <w:sz w:val="20"/>
          <w:szCs w:val="20"/>
        </w:rPr>
        <w:t xml:space="preserv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08D96867"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1786E6ED" w14:textId="6E49EF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efter beslutet om fondemission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2D55CBB8" w14:textId="2A16922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93DBCF9" w14:textId="77777777">
        <w:trPr>
          <w:tblCellSpacing w:w="7" w:type="dxa"/>
        </w:trPr>
        <w:tc>
          <w:tcPr>
            <w:tcW w:w="1250" w:type="pct"/>
          </w:tcPr>
          <w:p w14:paraId="4F751F7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B451F5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5CFA01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antalet Aktier före fondemissionen</w:t>
            </w:r>
            <w:r w:rsidRPr="009D5439">
              <w:rPr>
                <w:rFonts w:ascii="Arial" w:hAnsi="Arial" w:cs="Arial"/>
                <w:sz w:val="20"/>
                <w:szCs w:val="20"/>
              </w:rPr>
              <w:br/>
              <w:t>______________________________________________</w:t>
            </w:r>
            <w:r w:rsidRPr="009D5439">
              <w:rPr>
                <w:rFonts w:ascii="Arial" w:hAnsi="Arial" w:cs="Arial"/>
                <w:sz w:val="20"/>
                <w:szCs w:val="20"/>
              </w:rPr>
              <w:br/>
              <w:t>antalet Aktier efter fondemissionen</w:t>
            </w:r>
          </w:p>
        </w:tc>
      </w:tr>
    </w:tbl>
    <w:p w14:paraId="2087406D"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14D542E" w14:textId="77777777">
        <w:trPr>
          <w:tblCellSpacing w:w="7" w:type="dxa"/>
        </w:trPr>
        <w:tc>
          <w:tcPr>
            <w:tcW w:w="1250" w:type="pct"/>
          </w:tcPr>
          <w:p w14:paraId="7FBF5043" w14:textId="256F76D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6977232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1A8CA973" w14:textId="402E930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antalet Aktier efter fondemissionen</w:t>
            </w:r>
            <w:r w:rsidRPr="009D5439">
              <w:rPr>
                <w:rFonts w:ascii="Arial" w:hAnsi="Arial" w:cs="Arial"/>
                <w:sz w:val="20"/>
                <w:szCs w:val="20"/>
              </w:rPr>
              <w:br/>
              <w:t>__________________________________________________</w:t>
            </w:r>
            <w:r w:rsidRPr="009D5439">
              <w:rPr>
                <w:rFonts w:ascii="Arial" w:hAnsi="Arial" w:cs="Arial"/>
                <w:sz w:val="20"/>
                <w:szCs w:val="20"/>
              </w:rPr>
              <w:br/>
              <w:t>antalet Aktier före fondemissionen</w:t>
            </w:r>
          </w:p>
        </w:tc>
      </w:tr>
    </w:tbl>
    <w:p w14:paraId="2EA3336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Enligt ovan omräknad Teckningskurs och omräknat antal Aktier fastställs snarast möjligt efter bolagsstämmans beslut om fondemission men tillämpas i förekommande fall först efter avstämningsdagen för emissionen.</w:t>
      </w:r>
    </w:p>
    <w:p w14:paraId="45F84705"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B. Sammanläggning eller uppdelning (split)</w:t>
      </w:r>
    </w:p>
    <w:p w14:paraId="60C958A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275B676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C. Nyemission av Aktier</w:t>
      </w:r>
    </w:p>
    <w:p w14:paraId="789A6E45" w14:textId="55CB88F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med företrädesrätt för aktieägarna att teckna nya Aktier mot kontant betalning eller mot betalning genom kvittning ska följande gälla beträffande rätten att delta i emissionen på grund av Aktie som tillkommit på grund av Teckning med utnyttjande av </w:t>
      </w:r>
      <w:r w:rsidR="00D74262" w:rsidRPr="009D5439">
        <w:rPr>
          <w:rFonts w:ascii="Arial" w:hAnsi="Arial" w:cs="Arial"/>
          <w:sz w:val="20"/>
          <w:szCs w:val="20"/>
        </w:rPr>
        <w:t>Teckningsoption</w:t>
      </w:r>
      <w:r w:rsidRPr="009D5439">
        <w:rPr>
          <w:rFonts w:ascii="Arial" w:hAnsi="Arial" w:cs="Arial"/>
          <w:sz w:val="20"/>
          <w:szCs w:val="20"/>
        </w:rPr>
        <w:t>:</w:t>
      </w:r>
    </w:p>
    <w:p w14:paraId="57855270" w14:textId="72BAB42C"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Beslutas emissionen av Bolagets styrelse under förutsättning av bolagsstämmans godkännande eller med stöd av bolagsstämmans bemyndigande, ska i emissionsbeslutet och, i förekommande fall, i underrättelsen enligt 13 kap</w:t>
      </w:r>
      <w:r w:rsidR="00D101A8" w:rsidRPr="009D5439">
        <w:rPr>
          <w:rFonts w:ascii="Arial" w:hAnsi="Arial" w:cs="Arial"/>
          <w:sz w:val="20"/>
          <w:szCs w:val="20"/>
        </w:rPr>
        <w:t>.</w:t>
      </w:r>
      <w:r w:rsidRPr="009D5439">
        <w:rPr>
          <w:rFonts w:ascii="Arial" w:hAnsi="Arial" w:cs="Arial"/>
          <w:sz w:val="20"/>
          <w:szCs w:val="20"/>
        </w:rPr>
        <w:t xml:space="preserve"> 12 § aktiebolagslagen till aktieägarna, anges den senaste dag då Teckning ska vara verkställd för att Aktie, som tillkommit genom Teckning, ska medföra rätt att delta i emissionen.</w:t>
      </w:r>
    </w:p>
    <w:p w14:paraId="30B878D1" w14:textId="5DC33CE1"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 xml:space="preserve">Beslutas emissionen av bolagsstämman, ska Teckning – där anmälan om Teckning görs på sådan tid, att Teckningen inte kan verkställas senast tre </w:t>
      </w:r>
      <w:r w:rsidR="00D03A26" w:rsidRPr="009D5439">
        <w:rPr>
          <w:rFonts w:ascii="Arial" w:hAnsi="Arial" w:cs="Arial"/>
          <w:sz w:val="20"/>
          <w:szCs w:val="20"/>
        </w:rPr>
        <w:t xml:space="preserve">(3) </w:t>
      </w:r>
      <w:r w:rsidRPr="009D5439">
        <w:rPr>
          <w:rFonts w:ascii="Arial" w:hAnsi="Arial" w:cs="Arial"/>
          <w:sz w:val="20"/>
          <w:szCs w:val="20"/>
        </w:rPr>
        <w:t>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2FFFB382" w14:textId="655E7F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verkställts på sådan tid att rätt till deltagande i nyemissionen inte uppkommer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7F9643EF" w14:textId="437ACE6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15716AC3" w14:textId="77777777">
        <w:trPr>
          <w:tblCellSpacing w:w="7" w:type="dxa"/>
        </w:trPr>
        <w:tc>
          <w:tcPr>
            <w:tcW w:w="1250" w:type="pct"/>
          </w:tcPr>
          <w:p w14:paraId="42B9337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5F932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106EA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på grundval därav framräknade teoretiska värdet på teckningsrätten</w:t>
            </w:r>
          </w:p>
        </w:tc>
      </w:tr>
    </w:tbl>
    <w:p w14:paraId="3B1984D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1372FE4" w14:textId="77777777">
        <w:trPr>
          <w:tblCellSpacing w:w="7" w:type="dxa"/>
        </w:trPr>
        <w:tc>
          <w:tcPr>
            <w:tcW w:w="1250" w:type="pct"/>
          </w:tcPr>
          <w:p w14:paraId="5D0B242B" w14:textId="755D5FB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0F77789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7558F836" w14:textId="1A2DBC0F"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på grundval därav framräknade teoretiska värdet på teckningsrätten</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6D353CD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2E6B8CB9" w14:textId="21B66F6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teoretiska värdet på teckningsrätten beräknas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632FB39" w14:textId="77777777">
        <w:trPr>
          <w:tblCellSpacing w:w="7" w:type="dxa"/>
        </w:trPr>
        <w:tc>
          <w:tcPr>
            <w:tcW w:w="1250" w:type="pct"/>
          </w:tcPr>
          <w:p w14:paraId="6F026AD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teckningsrättens värde</w:t>
            </w:r>
          </w:p>
        </w:tc>
        <w:tc>
          <w:tcPr>
            <w:tcW w:w="400" w:type="pct"/>
          </w:tcPr>
          <w:p w14:paraId="4AC9F8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41466F9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antal nya Aktier som högst kan komma att utges enligt emissionsbeslutet x Aktiens genomsnittskurs minus teckningskursen för den nya Aktien</w:t>
            </w:r>
            <w:r w:rsidRPr="009D5439">
              <w:rPr>
                <w:rFonts w:ascii="Arial" w:hAnsi="Arial" w:cs="Arial"/>
                <w:sz w:val="20"/>
                <w:szCs w:val="20"/>
              </w:rPr>
              <w:br/>
              <w:t>___________________________________________________</w:t>
            </w:r>
            <w:r w:rsidRPr="009D5439">
              <w:rPr>
                <w:rFonts w:ascii="Arial" w:hAnsi="Arial" w:cs="Arial"/>
                <w:sz w:val="20"/>
                <w:szCs w:val="20"/>
              </w:rPr>
              <w:br/>
              <w:t>antalet Aktier före emissionsbeslutet</w:t>
            </w:r>
          </w:p>
        </w:tc>
      </w:tr>
    </w:tbl>
    <w:p w14:paraId="2CDC829D" w14:textId="514FD7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Uppstår härvid ett negativt värde, ska det teoretiska värdet på teckningsrätten bestämmas till noll</w:t>
      </w:r>
      <w:r w:rsidR="00D03A26" w:rsidRPr="009D5439">
        <w:rPr>
          <w:rFonts w:ascii="Arial" w:hAnsi="Arial" w:cs="Arial"/>
          <w:sz w:val="20"/>
          <w:szCs w:val="20"/>
        </w:rPr>
        <w:t xml:space="preserve"> (0)</w:t>
      </w:r>
      <w:r w:rsidRPr="009D5439">
        <w:rPr>
          <w:rFonts w:ascii="Arial" w:hAnsi="Arial" w:cs="Arial"/>
          <w:sz w:val="20"/>
          <w:szCs w:val="20"/>
        </w:rPr>
        <w:t>.</w:t>
      </w:r>
    </w:p>
    <w:p w14:paraId="228B90C3" w14:textId="6794578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5F3D4681"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4CC6AF82" w14:textId="605960B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berättigar till Teckning av </w:t>
      </w:r>
      <w:r w:rsidR="00D03A26" w:rsidRPr="009D5439">
        <w:rPr>
          <w:rFonts w:ascii="Arial" w:hAnsi="Arial" w:cs="Arial"/>
          <w:sz w:val="20"/>
          <w:szCs w:val="20"/>
        </w:rPr>
        <w:t xml:space="preserve">har </w:t>
      </w:r>
      <w:r w:rsidRPr="009D5439">
        <w:rPr>
          <w:rFonts w:ascii="Arial" w:hAnsi="Arial" w:cs="Arial"/>
          <w:sz w:val="20"/>
          <w:szCs w:val="20"/>
        </w:rPr>
        <w:t xml:space="preserve">fastställts, verkställs Teckning endast preliminärt, varvid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före omräkning berättigar till Teckning av, upptas interimistiskt på Avstämningskonto. Dessutom noteras särskilt att varje </w:t>
      </w:r>
      <w:r w:rsidR="00D74262" w:rsidRPr="009D5439">
        <w:rPr>
          <w:rFonts w:ascii="Arial" w:hAnsi="Arial" w:cs="Arial"/>
          <w:sz w:val="20"/>
          <w:szCs w:val="20"/>
        </w:rPr>
        <w:t xml:space="preserve">Teckningsoption </w:t>
      </w:r>
      <w:r w:rsidRPr="009D5439">
        <w:rPr>
          <w:rFonts w:ascii="Arial" w:hAnsi="Arial" w:cs="Arial"/>
          <w:sz w:val="20"/>
          <w:szCs w:val="20"/>
        </w:rPr>
        <w:t>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7D47F699"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D. Emission av konvertibler eller teckningsoptioner</w:t>
      </w:r>
    </w:p>
    <w:p w14:paraId="4CCC4CC2" w14:textId="4FD4D7D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emission av konvertibler eller teckningsoptioner med företrädesrätt för aktieägarna och mot kontant betalning eller mot betalning genom kvittning eller, såvitt gäller teckningsoptioner, utan betalning, har bestämmelserna i punkt C första stycket 1 och 2 </w:t>
      </w:r>
      <w:r w:rsidR="00D03A26" w:rsidRPr="009D5439">
        <w:rPr>
          <w:rFonts w:ascii="Arial" w:hAnsi="Arial" w:cs="Arial"/>
          <w:sz w:val="20"/>
          <w:szCs w:val="20"/>
        </w:rPr>
        <w:t xml:space="preserve">ovan </w:t>
      </w:r>
      <w:r w:rsidRPr="009D5439">
        <w:rPr>
          <w:rFonts w:ascii="Arial" w:hAnsi="Arial" w:cs="Arial"/>
          <w:sz w:val="20"/>
          <w:szCs w:val="20"/>
        </w:rPr>
        <w:t>om rätten att delta i nyemission på grund av Aktie som tillkommit genom Teckning motsvarande tillämpning.</w:t>
      </w:r>
    </w:p>
    <w:p w14:paraId="54A98E02" w14:textId="5FE0FA3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i sådan tid att rätt till deltagande i emissionen inte uppkommer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07B9D346" w14:textId="103DB8E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4D480E1" w14:textId="77777777">
        <w:trPr>
          <w:tblCellSpacing w:w="7" w:type="dxa"/>
        </w:trPr>
        <w:tc>
          <w:tcPr>
            <w:tcW w:w="1250" w:type="pct"/>
          </w:tcPr>
          <w:p w14:paraId="7EEAD12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1166FC9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6F51FDF"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teckningsrättens värde</w:t>
            </w:r>
          </w:p>
        </w:tc>
      </w:tr>
    </w:tbl>
    <w:p w14:paraId="176133E6"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033D3BC" w14:textId="77777777">
        <w:trPr>
          <w:tblCellSpacing w:w="7" w:type="dxa"/>
        </w:trPr>
        <w:tc>
          <w:tcPr>
            <w:tcW w:w="1250" w:type="pct"/>
          </w:tcPr>
          <w:p w14:paraId="0710B149" w14:textId="54EBFBBA"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266DEF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2981A3F" w14:textId="7C24F00C"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teckningsrättens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5F4E758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Aktiens genomsnittskurs beräknas i enlighet med punkt C ovan.</w:t>
      </w:r>
    </w:p>
    <w:p w14:paraId="60000959"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Teckningsrättens värde ska anses motsvara det matematiskt framräknade värdet efter justering för nyemission och med beaktande av marknadsvärdet beräknat i enlighet med vad som anges i punkt C ovan.</w:t>
      </w:r>
    </w:p>
    <w:p w14:paraId="7C7377DD" w14:textId="301A08A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74CA65FF"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13B7ECA3" w14:textId="71C9BD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w:t>
      </w:r>
      <w:r w:rsidR="00D03A26" w:rsidRPr="009D5439">
        <w:rPr>
          <w:rFonts w:ascii="Arial" w:hAnsi="Arial" w:cs="Arial"/>
          <w:sz w:val="20"/>
          <w:szCs w:val="20"/>
        </w:rPr>
        <w:t>t</w:t>
      </w:r>
      <w:r w:rsidRPr="009D5439">
        <w:rPr>
          <w:rFonts w:ascii="Arial" w:hAnsi="Arial" w:cs="Arial"/>
          <w:sz w:val="20"/>
          <w:szCs w:val="20"/>
        </w:rPr>
        <w:t>s, ska bestämmelsen i punkt C sista stycket ovan äga motsvarande tillämpning.</w:t>
      </w:r>
    </w:p>
    <w:p w14:paraId="11FDEC9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E. Erbjudande till aktieägarna i annat fall än som avses i punkt A-D</w:t>
      </w:r>
    </w:p>
    <w:p w14:paraId="5569A88E" w14:textId="636AC2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erbjudande till aktieägarna i annat fall än som avses i punkt A-D </w:t>
      </w:r>
      <w:r w:rsidR="00D03A26" w:rsidRPr="009D5439">
        <w:rPr>
          <w:rFonts w:ascii="Arial" w:hAnsi="Arial" w:cs="Arial"/>
          <w:sz w:val="20"/>
          <w:szCs w:val="20"/>
        </w:rPr>
        <w:t xml:space="preserve">ovan </w:t>
      </w:r>
      <w:r w:rsidRPr="009D5439">
        <w:rPr>
          <w:rFonts w:ascii="Arial" w:hAnsi="Arial" w:cs="Arial"/>
          <w:sz w:val="20"/>
          <w:szCs w:val="20"/>
        </w:rPr>
        <w:t xml:space="preserve">att av Bolaget förvärva värdepapper eller rättighet av något slag, ska vid Teckning som påkallas på sådan tid, att därigenom erhållen Aktie inte medför rätt att delta i erbjudandet,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Detsamma gäller om Bolaget beslutar att enligt nämnda principer till aktieägarna dela ut värdepapper eller rättigheter utan vederlag.</w:t>
      </w:r>
    </w:p>
    <w:p w14:paraId="517431AB" w14:textId="77CC32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52146638" w14:textId="77777777">
        <w:trPr>
          <w:tblCellSpacing w:w="7" w:type="dxa"/>
        </w:trPr>
        <w:tc>
          <w:tcPr>
            <w:tcW w:w="1250" w:type="pct"/>
          </w:tcPr>
          <w:p w14:paraId="71A23E0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78330C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970A91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erbjudandet fastställda anmälningstiden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värdet av rätten till deltagande i erbjudandet (inköpsrättens värde)</w:t>
            </w:r>
          </w:p>
        </w:tc>
      </w:tr>
    </w:tbl>
    <w:p w14:paraId="73A26462"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5119026" w14:textId="77777777">
        <w:trPr>
          <w:tblCellSpacing w:w="7" w:type="dxa"/>
        </w:trPr>
        <w:tc>
          <w:tcPr>
            <w:tcW w:w="1250" w:type="pct"/>
          </w:tcPr>
          <w:p w14:paraId="37F1EEFA" w14:textId="11AE1B3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5769AB8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BE681E3" w14:textId="5F56A26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inköpsrättens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2DD3BB8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2ECCF218"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07705F5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7D0606D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Den omräknade Teckningskursen fastställs av Bolaget snarast möjligt efter erbjudandetidens utgång och tillämpas vid Teckning som verkställs sedan den omräknade kursen fastställts.</w:t>
      </w:r>
    </w:p>
    <w:p w14:paraId="6B411A1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3B935A0C" w14:textId="61072B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fastställts, ska bestämmelsen i punkt C sista stycket ovan äga motsvarande tillämpning.</w:t>
      </w:r>
    </w:p>
    <w:p w14:paraId="1EF248EA"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F. Nyemission eller emission av konvertibler eller teckningsoptioner</w:t>
      </w:r>
    </w:p>
    <w:p w14:paraId="4FE40895" w14:textId="3CC526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har verkställts, anses vara ägare till det antal Aktier som Innehavaren skulle ha erhållit, om Teckning verkställts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emission.</w:t>
      </w:r>
    </w:p>
    <w:p w14:paraId="7A2A1238" w14:textId="72593F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erbjudande.</w:t>
      </w:r>
    </w:p>
    <w:p w14:paraId="3B09E33C" w14:textId="3249176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skulle besluta att ge Innehavarna företrädesrätt i enlighet med bestämmelserna i punkt F, ska någon omräkning enligt punkt C, D eller E </w:t>
      </w:r>
      <w:r w:rsidR="00D03A26" w:rsidRPr="009D5439">
        <w:rPr>
          <w:rFonts w:ascii="Arial" w:hAnsi="Arial" w:cs="Arial"/>
          <w:sz w:val="20"/>
          <w:szCs w:val="20"/>
        </w:rPr>
        <w:t xml:space="preserve">ovan </w:t>
      </w:r>
      <w:r w:rsidRPr="009D5439">
        <w:rPr>
          <w:rFonts w:ascii="Arial" w:hAnsi="Arial" w:cs="Arial"/>
          <w:sz w:val="20"/>
          <w:szCs w:val="20"/>
        </w:rPr>
        <w:t>av Teckningskursen inte äga rum.</w:t>
      </w:r>
    </w:p>
    <w:p w14:paraId="055F36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G. Kontant utdelning till aktieägarna</w:t>
      </w:r>
    </w:p>
    <w:p w14:paraId="30A9BF4F" w14:textId="64F8A57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kontant utdelning till aktieägarna, som innebär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de befintliga Aktiernas genomsnittskurs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 Omräkningen ska baseras på den del av den sammanlagda utdelningen som överstiger</w:t>
      </w:r>
      <w:r w:rsidR="00D03A26" w:rsidRPr="009D5439">
        <w:rPr>
          <w:rFonts w:ascii="Arial" w:hAnsi="Arial" w:cs="Arial"/>
          <w:sz w:val="20"/>
          <w:szCs w:val="20"/>
        </w:rPr>
        <w:t xml:space="preserve"> trettio</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Aktiernas genomsnittskurs under ovan nämnd period (extraordinär utdelning).</w:t>
      </w:r>
    </w:p>
    <w:p w14:paraId="7B1CF5B7" w14:textId="32D8B7E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E1EF381" w14:textId="77777777">
        <w:trPr>
          <w:tblCellSpacing w:w="7" w:type="dxa"/>
        </w:trPr>
        <w:tc>
          <w:tcPr>
            <w:tcW w:w="1250" w:type="pct"/>
          </w:tcPr>
          <w:p w14:paraId="210B5A47"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4B9325B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71BBC98" w14:textId="5358272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w:t>
            </w:r>
            <w:r w:rsidR="00D03A26" w:rsidRPr="009D5439">
              <w:rPr>
                <w:rFonts w:ascii="Arial" w:hAnsi="Arial" w:cs="Arial"/>
                <w:sz w:val="20"/>
                <w:szCs w:val="20"/>
              </w:rPr>
              <w:t xml:space="preserve"> tjugofem</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extraordinär utdelning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den extraordinära utdelning som utbetalas per Aktie</w:t>
            </w:r>
          </w:p>
        </w:tc>
      </w:tr>
    </w:tbl>
    <w:p w14:paraId="74705EF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5E753BC" w14:textId="77777777">
        <w:trPr>
          <w:tblCellSpacing w:w="7" w:type="dxa"/>
        </w:trPr>
        <w:tc>
          <w:tcPr>
            <w:tcW w:w="1250" w:type="pct"/>
          </w:tcPr>
          <w:p w14:paraId="15F95340" w14:textId="31F107C5"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8FB8669" w14:textId="77777777"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w:t>
            </w:r>
          </w:p>
        </w:tc>
        <w:tc>
          <w:tcPr>
            <w:tcW w:w="3350" w:type="pct"/>
          </w:tcPr>
          <w:p w14:paraId="04601A8D" w14:textId="06C3F13A"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den extraordinära utdelning som utbetalas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46843C3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lastRenderedPageBreak/>
        <w:t>Aktiens genomsnittskurs beräknas i enlighet med punkt C ovan.</w:t>
      </w:r>
    </w:p>
    <w:p w14:paraId="5A062F64" w14:textId="685604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ovan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3A54F861" w14:textId="0BEFE01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Aktier inte är föremål för notering eller handel på Marknadsplats och det beslutas om kontant utdelning till aktieägarna innebärande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enligt ovan (extraordinär utdelning).</w:t>
      </w:r>
    </w:p>
    <w:p w14:paraId="68C96E0A" w14:textId="46FA921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128F5671"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H. Minskning av aktiekapitalet med återbetalning till aktieägarna</w:t>
      </w:r>
    </w:p>
    <w:p w14:paraId="1FF3FA9B" w14:textId="15C3143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minskning av aktiekapitalet med återbetalning till aktieägarna,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6DE1BFB5" w14:textId="256671F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7115351" w14:textId="77777777">
        <w:trPr>
          <w:tblCellSpacing w:w="7" w:type="dxa"/>
        </w:trPr>
        <w:tc>
          <w:tcPr>
            <w:tcW w:w="1250" w:type="pct"/>
          </w:tcPr>
          <w:p w14:paraId="088473D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C5C1C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CC9231" w14:textId="71984B7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Teckningskurs x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återbetalning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belopp som återbetalas per Aktie</w:t>
            </w:r>
          </w:p>
        </w:tc>
      </w:tr>
    </w:tbl>
    <w:p w14:paraId="7EB62B61"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A159C29" w14:textId="77777777">
        <w:trPr>
          <w:tblCellSpacing w:w="7" w:type="dxa"/>
        </w:trPr>
        <w:tc>
          <w:tcPr>
            <w:tcW w:w="1250" w:type="pct"/>
          </w:tcPr>
          <w:p w14:paraId="2DAB2A17" w14:textId="77EA1FC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A7A85F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971B40F" w14:textId="6BD1BA74"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belopp som återbetalas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3A149C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43BBF8EE"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omräkning enligt ovan och där minskningen sker genom inlösen av Aktier ska i stället för det faktiska belopp som återbetalas per Aktie ett beräknat återbetalningsbelopp användas enligt följande:</w:t>
      </w:r>
      <w:r w:rsidRPr="009D5439">
        <w:rPr>
          <w:rFonts w:ascii="Arial" w:hAnsi="Arial" w:cs="Arial"/>
          <w:sz w:val="20"/>
          <w:szCs w:val="20"/>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28FA41D" w14:textId="77777777">
        <w:trPr>
          <w:tblCellSpacing w:w="7" w:type="dxa"/>
        </w:trPr>
        <w:tc>
          <w:tcPr>
            <w:tcW w:w="1250" w:type="pct"/>
          </w:tcPr>
          <w:p w14:paraId="1D49919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beräknat återbetalningsbelopp per Aktie</w:t>
            </w:r>
          </w:p>
        </w:tc>
        <w:tc>
          <w:tcPr>
            <w:tcW w:w="400" w:type="pct"/>
          </w:tcPr>
          <w:p w14:paraId="2A62FA2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222F7F8" w14:textId="42791A4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det faktiska belopp som återbetalas per inlöst Aktie minskat med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Aktien noteras utan rätt till deltagande i nedsättningen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det antal Aktier i Bolaget som ligger till grund för inlösen av en Aktie minskat med talet 1</w:t>
            </w:r>
          </w:p>
        </w:tc>
      </w:tr>
    </w:tbl>
    <w:p w14:paraId="5B9796C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6180D4AB" w14:textId="67EAF7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266B9CAF" w14:textId="3C369F8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w:t>
      </w:r>
      <w:r w:rsidR="00D03A26" w:rsidRPr="009D5439">
        <w:rPr>
          <w:rFonts w:ascii="Arial" w:hAnsi="Arial" w:cs="Arial"/>
          <w:sz w:val="20"/>
          <w:szCs w:val="20"/>
        </w:rPr>
        <w:lastRenderedPageBreak/>
        <w:t xml:space="preserve">som </w:t>
      </w:r>
      <w:r w:rsidRPr="009D5439">
        <w:rPr>
          <w:rFonts w:ascii="Arial" w:hAnsi="Arial" w:cs="Arial"/>
          <w:sz w:val="20"/>
          <w:szCs w:val="20"/>
        </w:rPr>
        <w:t xml:space="preserve">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0966A30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188A832" w14:textId="7DC634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aktiekapital skulle minskas genom inlösen av Aktier med återbetalning till aktieägarna, vilken minskning inte är obligatorisk, eller om Bolaget – utan att </w:t>
      </w:r>
      <w:r w:rsidR="00EB228B" w:rsidRPr="009D5439">
        <w:rPr>
          <w:rFonts w:ascii="Arial" w:hAnsi="Arial" w:cs="Arial"/>
          <w:sz w:val="20"/>
          <w:szCs w:val="20"/>
        </w:rPr>
        <w:t xml:space="preserve">det är </w:t>
      </w:r>
      <w:r w:rsidRPr="009D5439">
        <w:rPr>
          <w:rFonts w:ascii="Arial" w:hAnsi="Arial" w:cs="Arial"/>
          <w:sz w:val="20"/>
          <w:szCs w:val="20"/>
        </w:rPr>
        <w:t xml:space="preserve">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ske med tillämpning så långt möjligt av de principer som anges ovan.</w:t>
      </w:r>
    </w:p>
    <w:p w14:paraId="32A9548A"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I. Ändamålsenlig omräkning</w:t>
      </w:r>
    </w:p>
    <w:p w14:paraId="251D0BD3" w14:textId="37E9E47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på det sätt styrelsen finner ändamålsenligt för att få ett skäligt resultat.</w:t>
      </w:r>
    </w:p>
    <w:p w14:paraId="665B616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J. Avrundning</w:t>
      </w:r>
    </w:p>
    <w:p w14:paraId="5AB3F498" w14:textId="14F9DFB1"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För fastställande av omräknad Teckningskurs ska Teckningskursen avrundas till två </w:t>
      </w:r>
      <w:r w:rsidR="00EB228B" w:rsidRPr="009D5439">
        <w:rPr>
          <w:rFonts w:ascii="Arial" w:hAnsi="Arial" w:cs="Arial"/>
          <w:sz w:val="20"/>
          <w:szCs w:val="20"/>
        </w:rPr>
        <w:t xml:space="preserve">(2) </w:t>
      </w:r>
      <w:r w:rsidRPr="009D5439">
        <w:rPr>
          <w:rFonts w:ascii="Arial" w:hAnsi="Arial" w:cs="Arial"/>
          <w:sz w:val="20"/>
          <w:szCs w:val="20"/>
        </w:rPr>
        <w:t>decimaler.</w:t>
      </w:r>
    </w:p>
    <w:p w14:paraId="44BB5F0F"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K. Likvidation</w:t>
      </w:r>
    </w:p>
    <w:p w14:paraId="633A953E" w14:textId="7F9EFE5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likvidation enligt 25 kap</w:t>
      </w:r>
      <w:r w:rsidR="00D101A8" w:rsidRPr="009D5439">
        <w:rPr>
          <w:rFonts w:ascii="Arial" w:hAnsi="Arial" w:cs="Arial"/>
          <w:sz w:val="20"/>
          <w:szCs w:val="20"/>
        </w:rPr>
        <w:t>.</w:t>
      </w:r>
      <w:r w:rsidRPr="009D5439">
        <w:rPr>
          <w:rFonts w:ascii="Arial" w:hAnsi="Arial" w:cs="Arial"/>
          <w:sz w:val="20"/>
          <w:szCs w:val="20"/>
        </w:rPr>
        <w:t xml:space="preserve"> aktiebolagslagen får Teckning inte vidare verkställas. Det gäller oavsett likvidationsgrunden och oberoende av om beslutet att Bolaget ska träda i likvidation vunnit laga kraft eller inte.</w:t>
      </w:r>
    </w:p>
    <w:p w14:paraId="597C60B6" w14:textId="486AB25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Samtidigt som kallelse till bolagsstämma sker och innan bolagsstämma tar ställning till fråga om Bolaget ska träda i frivillig likvidation enligt 25 kap</w:t>
      </w:r>
      <w:r w:rsidR="00EB228B" w:rsidRPr="009D5439">
        <w:rPr>
          <w:rFonts w:ascii="Arial" w:hAnsi="Arial" w:cs="Arial"/>
          <w:sz w:val="20"/>
          <w:szCs w:val="20"/>
        </w:rPr>
        <w:t>.</w:t>
      </w:r>
      <w:r w:rsidRPr="009D5439">
        <w:rPr>
          <w:rFonts w:ascii="Arial" w:hAnsi="Arial" w:cs="Arial"/>
          <w:sz w:val="20"/>
          <w:szCs w:val="20"/>
        </w:rPr>
        <w:t xml:space="preserve"> 1 § aktiebolagslagen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saken. I meddelandet ska tas in en erinran om att Teckning inte får verkställas sedan bolagsstämman fattat beslut om likvidation.</w:t>
      </w:r>
    </w:p>
    <w:p w14:paraId="13970342" w14:textId="264EAF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att det överväger att frivilligt träda i likvidation, ska Innehavare – oavsett vad som sägs i § 3 om tidigaste tidpunkt för påkallande av Teckning – ha rätt att göra anmälan om Teckning av Aktier med utnyttjande av </w:t>
      </w:r>
      <w:r w:rsidR="00D74262" w:rsidRPr="009D5439">
        <w:rPr>
          <w:rFonts w:ascii="Arial" w:hAnsi="Arial" w:cs="Arial"/>
          <w:sz w:val="20"/>
          <w:szCs w:val="20"/>
        </w:rPr>
        <w:t xml:space="preserve">Teckningsoptionen </w:t>
      </w:r>
      <w:r w:rsidRPr="009D5439">
        <w:rPr>
          <w:rFonts w:ascii="Arial" w:hAnsi="Arial" w:cs="Arial"/>
          <w:sz w:val="20"/>
          <w:szCs w:val="20"/>
        </w:rPr>
        <w:t>från den dag då meddelandet lämnats. Det gäller dock bara om Teckning kan verkställas senast på tionde kalenderdagen före den bolagsstämma vid vilken frågan om Bolagets likvidation ska behandlas.</w:t>
      </w:r>
    </w:p>
    <w:p w14:paraId="2364A5FD"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L. Fusion</w:t>
      </w:r>
    </w:p>
    <w:p w14:paraId="6740986D" w14:textId="1190EB5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Skulle bolagsstämman godkänna fusionsplan, enligt 23 kap</w:t>
      </w:r>
      <w:r w:rsidR="00D101A8" w:rsidRPr="009D5439">
        <w:rPr>
          <w:rFonts w:ascii="Arial" w:hAnsi="Arial" w:cs="Arial"/>
          <w:sz w:val="20"/>
          <w:szCs w:val="20"/>
        </w:rPr>
        <w:t>.</w:t>
      </w:r>
      <w:r w:rsidRPr="009D5439">
        <w:rPr>
          <w:rFonts w:ascii="Arial" w:hAnsi="Arial" w:cs="Arial"/>
          <w:sz w:val="20"/>
          <w:szCs w:val="20"/>
        </w:rPr>
        <w:t xml:space="preserve"> 15 § aktiebolagslagen, varigenom Bolaget ska uppgå i annat bolag, får påkallande av Teckning därefter inte ske.</w:t>
      </w:r>
    </w:p>
    <w:p w14:paraId="34246C4F" w14:textId="4B77933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Senast två </w:t>
      </w:r>
      <w:r w:rsidR="00EB228B" w:rsidRPr="009D5439">
        <w:rPr>
          <w:rFonts w:ascii="Arial" w:hAnsi="Arial" w:cs="Arial"/>
          <w:sz w:val="20"/>
          <w:szCs w:val="20"/>
        </w:rPr>
        <w:t xml:space="preserve">(2) </w:t>
      </w:r>
      <w:r w:rsidRPr="009D5439">
        <w:rPr>
          <w:rFonts w:ascii="Arial" w:hAnsi="Arial" w:cs="Arial"/>
          <w:sz w:val="20"/>
          <w:szCs w:val="20"/>
        </w:rPr>
        <w:t xml:space="preserve">månader innan Bolaget tar slutlig ställning till fråga om fusion enligt ovan,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45BDCF3" w14:textId="698BCD2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avsedd fusion enligt ovan, ska Innehavare äga rätt att påkalla Teckning från den dag då meddelandet lämnats om fusionsavsikten, förutsatt att Teckning kan verkställas senast tre </w:t>
      </w:r>
      <w:r w:rsidR="00EB228B" w:rsidRPr="009D5439">
        <w:rPr>
          <w:rFonts w:ascii="Arial" w:hAnsi="Arial" w:cs="Arial"/>
          <w:sz w:val="20"/>
          <w:szCs w:val="20"/>
        </w:rPr>
        <w:t xml:space="preserve">(3) </w:t>
      </w:r>
      <w:r w:rsidRPr="009D5439">
        <w:rPr>
          <w:rFonts w:ascii="Arial" w:hAnsi="Arial" w:cs="Arial"/>
          <w:sz w:val="20"/>
          <w:szCs w:val="20"/>
        </w:rPr>
        <w:t>veckor före den bolagsstämma, vid vilken fusionsplanen, varigenom Bolaget ska uppgå i annat bolag, ska godkännas.</w:t>
      </w:r>
    </w:p>
    <w:p w14:paraId="033856B5" w14:textId="3349735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Upprättar Bolagets styrelse en fusionsplan enligt 23 kap</w:t>
      </w:r>
      <w:r w:rsidR="00EB228B" w:rsidRPr="009D5439">
        <w:rPr>
          <w:rFonts w:ascii="Arial" w:hAnsi="Arial" w:cs="Arial"/>
          <w:sz w:val="20"/>
          <w:szCs w:val="20"/>
        </w:rPr>
        <w:t>.</w:t>
      </w:r>
      <w:r w:rsidRPr="009D5439">
        <w:rPr>
          <w:rFonts w:ascii="Arial" w:hAnsi="Arial" w:cs="Arial"/>
          <w:sz w:val="20"/>
          <w:szCs w:val="20"/>
        </w:rPr>
        <w:t xml:space="preserve"> 28 § aktiebolagslagen, varigenom Bolaget ska uppgå i annat bolag, ska följande gälla.</w:t>
      </w:r>
    </w:p>
    <w:p w14:paraId="23631E1F" w14:textId="2CC0A75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w:t>
      </w:r>
      <w:r w:rsidRPr="009D5439">
        <w:rPr>
          <w:rFonts w:ascii="Arial" w:hAnsi="Arial" w:cs="Arial"/>
          <w:sz w:val="20"/>
          <w:szCs w:val="20"/>
        </w:rPr>
        <w:lastRenderedPageBreak/>
        <w:t>dag för påkallande av Teckning (</w:t>
      </w:r>
      <w:r w:rsidR="00EB228B" w:rsidRPr="009D5439">
        <w:rPr>
          <w:rFonts w:ascii="Arial" w:hAnsi="Arial" w:cs="Arial"/>
          <w:sz w:val="20"/>
          <w:szCs w:val="20"/>
        </w:rPr>
        <w:t>”</w:t>
      </w:r>
      <w:r w:rsidRPr="009D5439">
        <w:rPr>
          <w:rFonts w:ascii="Arial" w:hAnsi="Arial" w:cs="Arial"/>
          <w:b/>
          <w:bCs/>
          <w:sz w:val="20"/>
          <w:szCs w:val="20"/>
        </w:rPr>
        <w:t>Slutdagen</w:t>
      </w:r>
      <w:r w:rsidR="00EB228B" w:rsidRPr="009D5439">
        <w:rPr>
          <w:rFonts w:ascii="Arial" w:hAnsi="Arial" w:cs="Arial"/>
          <w:sz w:val="20"/>
          <w:szCs w:val="20"/>
        </w:rPr>
        <w:t>”</w:t>
      </w:r>
      <w:r w:rsidRPr="009D5439">
        <w:rPr>
          <w:rFonts w:ascii="Arial" w:hAnsi="Arial" w:cs="Arial"/>
          <w:sz w:val="20"/>
          <w:szCs w:val="20"/>
        </w:rPr>
        <w:t xml:space="preserve">). Slutdagen ska infalla inom två </w:t>
      </w:r>
      <w:r w:rsidR="00EB228B" w:rsidRPr="009D5439">
        <w:rPr>
          <w:rFonts w:ascii="Arial" w:hAnsi="Arial" w:cs="Arial"/>
          <w:sz w:val="20"/>
          <w:szCs w:val="20"/>
        </w:rPr>
        <w:t xml:space="preserve">(2) </w:t>
      </w:r>
      <w:r w:rsidRPr="009D5439">
        <w:rPr>
          <w:rFonts w:ascii="Arial" w:hAnsi="Arial" w:cs="Arial"/>
          <w:sz w:val="20"/>
          <w:szCs w:val="20"/>
        </w:rPr>
        <w:t>månader från offentliggörandet.</w:t>
      </w:r>
    </w:p>
    <w:p w14:paraId="2C873FDE"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M. Delning</w:t>
      </w:r>
    </w:p>
    <w:p w14:paraId="5BA9DF65" w14:textId="7E0B72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bolagsstämman skulle godkänna en delningsplan enligt 24 kap</w:t>
      </w:r>
      <w:r w:rsidR="00EB228B" w:rsidRPr="009D5439">
        <w:rPr>
          <w:rFonts w:ascii="Arial" w:hAnsi="Arial" w:cs="Arial"/>
          <w:sz w:val="20"/>
          <w:szCs w:val="20"/>
        </w:rPr>
        <w:t>.</w:t>
      </w:r>
      <w:r w:rsidRPr="009D5439">
        <w:rPr>
          <w:rFonts w:ascii="Arial" w:hAnsi="Arial" w:cs="Arial"/>
          <w:sz w:val="20"/>
          <w:szCs w:val="20"/>
        </w:rPr>
        <w:t xml:space="preserve"> 17 § aktiebolagslagen varigenom Bolaget ska delas genom att en del av Bolagets tillgångar och skulder övertas av ett eller flera aktiebolag mot vederlag till aktieägarna i Bolaget,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ger rätt att teckna, enligt principerna för extraordinär utdelning i punkt G ovan. Omräkningen ska baseras </w:t>
      </w:r>
      <w:r w:rsidR="00EB228B" w:rsidRPr="009D5439">
        <w:rPr>
          <w:rFonts w:ascii="Arial" w:hAnsi="Arial" w:cs="Arial"/>
          <w:sz w:val="20"/>
          <w:szCs w:val="20"/>
        </w:rPr>
        <w:t xml:space="preserve">på </w:t>
      </w:r>
      <w:r w:rsidR="00044863" w:rsidRPr="009D5439">
        <w:rPr>
          <w:rFonts w:ascii="Arial" w:hAnsi="Arial" w:cs="Arial"/>
          <w:sz w:val="20"/>
          <w:szCs w:val="20"/>
        </w:rPr>
        <w:t>den del av Bolagets tillgångar och skulder som övertas av övertagande bolag</w:t>
      </w:r>
      <w:r w:rsidRPr="009D5439">
        <w:rPr>
          <w:rFonts w:ascii="Arial" w:hAnsi="Arial" w:cs="Arial"/>
          <w:sz w:val="20"/>
          <w:szCs w:val="20"/>
        </w:rPr>
        <w:t>.</w:t>
      </w:r>
    </w:p>
    <w:p w14:paraId="1EEC04ED" w14:textId="677377C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w:t>
      </w:r>
      <w:r w:rsidR="00EB228B" w:rsidRPr="009D5439">
        <w:rPr>
          <w:rFonts w:ascii="Arial" w:hAnsi="Arial" w:cs="Arial"/>
          <w:sz w:val="20"/>
          <w:szCs w:val="20"/>
        </w:rPr>
        <w:t>.</w:t>
      </w:r>
      <w:r w:rsidRPr="009D5439">
        <w:rPr>
          <w:rFonts w:ascii="Arial" w:hAnsi="Arial" w:cs="Arial"/>
          <w:sz w:val="20"/>
          <w:szCs w:val="20"/>
        </w:rPr>
        <w:t xml:space="preserve"> 27 § aktiebolagslagen och att underrättelse till Innehavaren ska ske senast två</w:t>
      </w:r>
      <w:r w:rsidR="00EB228B" w:rsidRPr="009D5439">
        <w:rPr>
          <w:rFonts w:ascii="Arial" w:hAnsi="Arial" w:cs="Arial"/>
          <w:sz w:val="20"/>
          <w:szCs w:val="20"/>
        </w:rPr>
        <w:t xml:space="preserve"> (2)</w:t>
      </w:r>
      <w:r w:rsidRPr="009D5439">
        <w:rPr>
          <w:rFonts w:ascii="Arial" w:hAnsi="Arial" w:cs="Arial"/>
          <w:sz w:val="20"/>
          <w:szCs w:val="20"/>
        </w:rPr>
        <w:t xml:space="preserve"> månader innan delningsplanen underställs bolagsstämman.</w:t>
      </w:r>
    </w:p>
    <w:p w14:paraId="5F85CCC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N. Tvångsinlösen</w:t>
      </w:r>
    </w:p>
    <w:p w14:paraId="2B0D5EC9" w14:textId="0830F28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Äger ett svenskt moderbolag, självt eller tillsammans med dotterföretag, mer än </w:t>
      </w:r>
      <w:r w:rsidR="00EB228B" w:rsidRPr="009D5439">
        <w:rPr>
          <w:rFonts w:ascii="Arial" w:hAnsi="Arial" w:cs="Arial"/>
          <w:sz w:val="20"/>
          <w:szCs w:val="20"/>
        </w:rPr>
        <w:t>nittio (</w:t>
      </w:r>
      <w:r w:rsidRPr="009D5439">
        <w:rPr>
          <w:rFonts w:ascii="Arial" w:hAnsi="Arial" w:cs="Arial"/>
          <w:sz w:val="20"/>
          <w:szCs w:val="20"/>
        </w:rPr>
        <w:t>90</w:t>
      </w:r>
      <w:r w:rsidR="00EB228B" w:rsidRPr="009D5439">
        <w:rPr>
          <w:rFonts w:ascii="Arial" w:hAnsi="Arial" w:cs="Arial"/>
          <w:sz w:val="20"/>
          <w:szCs w:val="20"/>
        </w:rPr>
        <w:t>)</w:t>
      </w:r>
      <w:r w:rsidRPr="009D5439">
        <w:rPr>
          <w:rFonts w:ascii="Arial" w:hAnsi="Arial" w:cs="Arial"/>
          <w:sz w:val="20"/>
          <w:szCs w:val="20"/>
        </w:rPr>
        <w:t xml:space="preserve"> procent av Aktierna i Bolaget, och offentliggör moderbolaget sin avsikt att påkalla tvångsinlösen, ska vad som i sista stycket punkt L </w:t>
      </w:r>
      <w:r w:rsidR="00EB228B" w:rsidRPr="009D5439">
        <w:rPr>
          <w:rFonts w:ascii="Arial" w:hAnsi="Arial" w:cs="Arial"/>
          <w:sz w:val="20"/>
          <w:szCs w:val="20"/>
        </w:rPr>
        <w:t xml:space="preserve">ovan </w:t>
      </w:r>
      <w:r w:rsidRPr="009D5439">
        <w:rPr>
          <w:rFonts w:ascii="Arial" w:hAnsi="Arial" w:cs="Arial"/>
          <w:sz w:val="20"/>
          <w:szCs w:val="20"/>
        </w:rPr>
        <w:t>sägs om Slutdag äga motsvarande tillämpning.</w:t>
      </w:r>
    </w:p>
    <w:p w14:paraId="3AFA07DB" w14:textId="657624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offentliggörandet skett i enlighet med vad som anges ovan i denna punkt, ska Innehavare äga rätt att göra sådant påkallande fram till och med Slutdagen. Bolaget ska senast fem </w:t>
      </w:r>
      <w:r w:rsidR="00EB228B" w:rsidRPr="009D5439">
        <w:rPr>
          <w:rFonts w:ascii="Arial" w:hAnsi="Arial" w:cs="Arial"/>
          <w:sz w:val="20"/>
          <w:szCs w:val="20"/>
        </w:rPr>
        <w:t xml:space="preserve">(5) </w:t>
      </w:r>
      <w:r w:rsidRPr="009D5439">
        <w:rPr>
          <w:rFonts w:ascii="Arial" w:hAnsi="Arial" w:cs="Arial"/>
          <w:sz w:val="20"/>
          <w:szCs w:val="20"/>
        </w:rPr>
        <w:t xml:space="preserve">veckor före Slutdagen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erinra Innehavarna om denna rätt samt att påkallande av Teckning inte får ske efter Slutdagen.</w:t>
      </w:r>
    </w:p>
    <w:p w14:paraId="250C374C" w14:textId="3D2D25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Har majoritetsägaren enligt 22 kap</w:t>
      </w:r>
      <w:r w:rsidR="00EB228B" w:rsidRPr="009D5439">
        <w:rPr>
          <w:rFonts w:ascii="Arial" w:hAnsi="Arial" w:cs="Arial"/>
          <w:sz w:val="20"/>
          <w:szCs w:val="20"/>
        </w:rPr>
        <w:t>.</w:t>
      </w:r>
      <w:r w:rsidRPr="009D5439">
        <w:rPr>
          <w:rFonts w:ascii="Arial" w:hAnsi="Arial" w:cs="Arial"/>
          <w:sz w:val="20"/>
          <w:szCs w:val="20"/>
        </w:rPr>
        <w:t xml:space="preserve"> 6 § aktiebolagslagen begärt att en tvist om inlösen ska avgöras av skiljemän, får </w:t>
      </w:r>
      <w:r w:rsidR="00D74262" w:rsidRPr="009D5439">
        <w:rPr>
          <w:rFonts w:ascii="Arial" w:hAnsi="Arial" w:cs="Arial"/>
          <w:sz w:val="20"/>
          <w:szCs w:val="20"/>
        </w:rPr>
        <w:t xml:space="preserve">Teckningsoptionen </w:t>
      </w:r>
      <w:r w:rsidRPr="009D5439">
        <w:rPr>
          <w:rFonts w:ascii="Arial" w:hAnsi="Arial" w:cs="Arial"/>
          <w:sz w:val="20"/>
          <w:szCs w:val="20"/>
        </w:rPr>
        <w:t xml:space="preserve">inte utnyttjas för Teckning förrän inlösentvisten har avgjorts genom en dom eller ett beslut som har vunnit laga kraft. Om den tid inom vilken Teckning får ske löper ut dessförinnan eller inom tre </w:t>
      </w:r>
      <w:r w:rsidR="00EB228B" w:rsidRPr="009D5439">
        <w:rPr>
          <w:rFonts w:ascii="Arial" w:hAnsi="Arial" w:cs="Arial"/>
          <w:sz w:val="20"/>
          <w:szCs w:val="20"/>
        </w:rPr>
        <w:t xml:space="preserve">(3) </w:t>
      </w:r>
      <w:r w:rsidRPr="009D5439">
        <w:rPr>
          <w:rFonts w:ascii="Arial" w:hAnsi="Arial" w:cs="Arial"/>
          <w:sz w:val="20"/>
          <w:szCs w:val="20"/>
        </w:rPr>
        <w:t xml:space="preserve">månader därefter, har Innehavaren ändå rätt att utnyttja </w:t>
      </w:r>
      <w:r w:rsidR="00D74262" w:rsidRPr="009D5439">
        <w:rPr>
          <w:rFonts w:ascii="Arial" w:hAnsi="Arial" w:cs="Arial"/>
          <w:sz w:val="20"/>
          <w:szCs w:val="20"/>
        </w:rPr>
        <w:t xml:space="preserve">Teckningsoptionen </w:t>
      </w:r>
      <w:r w:rsidRPr="009D5439">
        <w:rPr>
          <w:rFonts w:ascii="Arial" w:hAnsi="Arial" w:cs="Arial"/>
          <w:sz w:val="20"/>
          <w:szCs w:val="20"/>
        </w:rPr>
        <w:t xml:space="preserve">under tre </w:t>
      </w:r>
      <w:r w:rsidR="00EB228B" w:rsidRPr="009D5439">
        <w:rPr>
          <w:rFonts w:ascii="Arial" w:hAnsi="Arial" w:cs="Arial"/>
          <w:sz w:val="20"/>
          <w:szCs w:val="20"/>
        </w:rPr>
        <w:t xml:space="preserve">(3) </w:t>
      </w:r>
      <w:r w:rsidRPr="009D5439">
        <w:rPr>
          <w:rFonts w:ascii="Arial" w:hAnsi="Arial" w:cs="Arial"/>
          <w:sz w:val="20"/>
          <w:szCs w:val="20"/>
        </w:rPr>
        <w:t>månader efter det att avgörandet vann laga kraft.</w:t>
      </w:r>
    </w:p>
    <w:p w14:paraId="60B2372C"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O. Upphörd eller förfallen likvidation, fusion eller delning</w:t>
      </w:r>
    </w:p>
    <w:p w14:paraId="2FFB87A6" w14:textId="3D94301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Oavsett vad som sagts under punkt K, L och M </w:t>
      </w:r>
      <w:r w:rsidR="00EB228B" w:rsidRPr="009D5439">
        <w:rPr>
          <w:rFonts w:ascii="Arial" w:hAnsi="Arial" w:cs="Arial"/>
          <w:sz w:val="20"/>
          <w:szCs w:val="20"/>
        </w:rPr>
        <w:t xml:space="preserve">ovan </w:t>
      </w:r>
      <w:r w:rsidRPr="009D5439">
        <w:rPr>
          <w:rFonts w:ascii="Arial" w:hAnsi="Arial" w:cs="Arial"/>
          <w:sz w:val="20"/>
          <w:szCs w:val="20"/>
        </w:rPr>
        <w:t>om att Teckning inte får verkställas efter beslut om likvidation eller godkännande av fusionsplan eller delningsplan, ska rätten till Teckning åter inträda om likvidationen upphör eller frågan om fusion eller delning förfaller.</w:t>
      </w:r>
    </w:p>
    <w:p w14:paraId="5F8FBE0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P. Konkurs eller företagsrekonstruktion</w:t>
      </w:r>
    </w:p>
    <w:p w14:paraId="2879DA67" w14:textId="081389F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Bolagets konkurs </w:t>
      </w:r>
      <w:r w:rsidR="00EB228B" w:rsidRPr="009D5439">
        <w:rPr>
          <w:rFonts w:ascii="Arial" w:hAnsi="Arial" w:cs="Arial"/>
          <w:sz w:val="20"/>
          <w:szCs w:val="20"/>
        </w:rPr>
        <w:t xml:space="preserve">eller om beslut fattas om att Bolaget ska bli föremål för företagsrekonstruktion </w:t>
      </w:r>
      <w:r w:rsidRPr="009D5439">
        <w:rPr>
          <w:rFonts w:ascii="Arial" w:hAnsi="Arial" w:cs="Arial"/>
          <w:sz w:val="20"/>
          <w:szCs w:val="20"/>
        </w:rPr>
        <w:t xml:space="preserve">får Teckning med utnyttjande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ske. Om konkursbeslutet </w:t>
      </w:r>
      <w:r w:rsidR="00EB228B" w:rsidRPr="009D5439">
        <w:rPr>
          <w:rFonts w:ascii="Arial" w:hAnsi="Arial" w:cs="Arial"/>
          <w:sz w:val="20"/>
          <w:szCs w:val="20"/>
        </w:rPr>
        <w:t xml:space="preserve">eller beslutet om företagsrekonstruktion </w:t>
      </w:r>
      <w:r w:rsidRPr="009D5439">
        <w:rPr>
          <w:rFonts w:ascii="Arial" w:hAnsi="Arial" w:cs="Arial"/>
          <w:sz w:val="20"/>
          <w:szCs w:val="20"/>
        </w:rPr>
        <w:t>hävs av högre rätt, återinträder rätten till Teckning.</w:t>
      </w:r>
    </w:p>
    <w:p w14:paraId="062E3A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Q. Byte av redovisningsvaluta</w:t>
      </w:r>
    </w:p>
    <w:p w14:paraId="367638D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706FD02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Enligt ovan omräknad Teckningskurs fastställs av Bolaget och ska tillämpas vid Teckning som verkställs från och med den dag som bytet av redovisningsvaluta får verkan.</w:t>
      </w:r>
    </w:p>
    <w:p w14:paraId="0C910A3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R. Motsvarande villkor för kupongbolag</w:t>
      </w:r>
    </w:p>
    <w:p w14:paraId="334098E6"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27216D47" w14:textId="52137C7C" w:rsidR="00EB228B" w:rsidRPr="009D5439" w:rsidRDefault="00EB228B"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xml:space="preserve">§ </w:t>
      </w:r>
      <w:r w:rsidR="006D63F5">
        <w:rPr>
          <w:rFonts w:ascii="Arial" w:hAnsi="Arial" w:cs="Arial"/>
          <w:sz w:val="20"/>
          <w:szCs w:val="20"/>
        </w:rPr>
        <w:t>9</w:t>
      </w:r>
      <w:r w:rsidRPr="009D5439">
        <w:rPr>
          <w:rFonts w:ascii="Arial" w:hAnsi="Arial" w:cs="Arial"/>
          <w:sz w:val="20"/>
          <w:szCs w:val="20"/>
        </w:rPr>
        <w:t xml:space="preserve"> Särskilt åtagande av Bolaget </w:t>
      </w:r>
    </w:p>
    <w:p w14:paraId="5AE41370" w14:textId="1F20583D" w:rsidR="00EB228B" w:rsidRPr="009D5439" w:rsidRDefault="00EB228B" w:rsidP="00435C87">
      <w:pPr>
        <w:widowControl w:val="0"/>
        <w:spacing w:before="120"/>
        <w:jc w:val="both"/>
        <w:rPr>
          <w:rFonts w:ascii="Arial" w:hAnsi="Arial" w:cs="Arial"/>
          <w:sz w:val="20"/>
          <w:szCs w:val="20"/>
        </w:rPr>
      </w:pPr>
      <w:r w:rsidRPr="009D5439">
        <w:rPr>
          <w:rFonts w:ascii="Arial" w:hAnsi="Arial" w:cs="Arial"/>
          <w:sz w:val="20"/>
          <w:szCs w:val="20"/>
        </w:rPr>
        <w:t xml:space="preserve">Bolaget förbinder sig att inte vidta någon åtgärd som avses i punkt 8 som medför en omräkning av </w:t>
      </w:r>
      <w:r w:rsidRPr="009D5439">
        <w:rPr>
          <w:rFonts w:ascii="Arial" w:hAnsi="Arial" w:cs="Arial"/>
          <w:sz w:val="20"/>
          <w:szCs w:val="20"/>
        </w:rPr>
        <w:lastRenderedPageBreak/>
        <w:t xml:space="preserve">Teckningskursen till belopp understigande </w:t>
      </w:r>
      <w:r w:rsidR="003D2C98">
        <w:rPr>
          <w:rFonts w:ascii="Arial" w:hAnsi="Arial" w:cs="Arial"/>
          <w:sz w:val="20"/>
          <w:szCs w:val="20"/>
        </w:rPr>
        <w:t>A</w:t>
      </w:r>
      <w:r w:rsidR="003D2C98" w:rsidRPr="003D2C98">
        <w:rPr>
          <w:rFonts w:ascii="Arial" w:hAnsi="Arial" w:cs="Arial"/>
          <w:sz w:val="20"/>
          <w:szCs w:val="20"/>
        </w:rPr>
        <w:t>kties vid var tid gällande kvotvärde</w:t>
      </w:r>
      <w:r w:rsidRPr="009D5439">
        <w:rPr>
          <w:rFonts w:ascii="Arial" w:hAnsi="Arial" w:cs="Arial"/>
          <w:sz w:val="20"/>
          <w:szCs w:val="20"/>
        </w:rPr>
        <w:t>.</w:t>
      </w:r>
    </w:p>
    <w:p w14:paraId="023FDED7" w14:textId="509B81A1"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xml:space="preserve">§ </w:t>
      </w:r>
      <w:r w:rsidR="006A3CA3" w:rsidRPr="009D5439">
        <w:rPr>
          <w:rFonts w:ascii="Arial" w:hAnsi="Arial" w:cs="Arial"/>
          <w:sz w:val="20"/>
          <w:szCs w:val="20"/>
        </w:rPr>
        <w:t>1</w:t>
      </w:r>
      <w:r w:rsidR="006D63F5">
        <w:rPr>
          <w:rFonts w:ascii="Arial" w:hAnsi="Arial" w:cs="Arial"/>
          <w:sz w:val="20"/>
          <w:szCs w:val="20"/>
        </w:rPr>
        <w:t>0</w:t>
      </w:r>
      <w:r w:rsidRPr="009D5439">
        <w:rPr>
          <w:rFonts w:ascii="Arial" w:hAnsi="Arial" w:cs="Arial"/>
          <w:sz w:val="20"/>
          <w:szCs w:val="20"/>
        </w:rPr>
        <w:t xml:space="preserve"> Meddelanden</w:t>
      </w:r>
    </w:p>
    <w:p w14:paraId="6754824B" w14:textId="555A5041" w:rsidR="001872FC"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Meddelanden rörande </w:t>
      </w:r>
      <w:r w:rsidR="00D74262" w:rsidRPr="009D5439">
        <w:rPr>
          <w:rFonts w:ascii="Arial" w:hAnsi="Arial" w:cs="Arial"/>
          <w:sz w:val="20"/>
          <w:szCs w:val="20"/>
        </w:rPr>
        <w:t xml:space="preserve">Teckningsoptionerna </w:t>
      </w:r>
      <w:r w:rsidRPr="009D5439">
        <w:rPr>
          <w:rFonts w:ascii="Arial" w:hAnsi="Arial" w:cs="Arial"/>
          <w:sz w:val="20"/>
          <w:szCs w:val="20"/>
        </w:rPr>
        <w:t>ska skriftligen genom brev eller e-post tillställas varje Innehavare under adress som är känd för Bolaget.</w:t>
      </w:r>
    </w:p>
    <w:p w14:paraId="17C41F3F" w14:textId="78C8DC7F"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1</w:t>
      </w:r>
      <w:r w:rsidRPr="009D5439">
        <w:rPr>
          <w:rFonts w:ascii="Arial" w:hAnsi="Arial" w:cs="Arial"/>
          <w:sz w:val="20"/>
          <w:szCs w:val="20"/>
        </w:rPr>
        <w:t xml:space="preserve"> Förvaltare </w:t>
      </w:r>
    </w:p>
    <w:p w14:paraId="4B4E609A" w14:textId="283CF05C"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 xml:space="preserve">Om </w:t>
      </w:r>
      <w:r w:rsidR="00D74262" w:rsidRPr="009D5439">
        <w:rPr>
          <w:rFonts w:ascii="Arial" w:hAnsi="Arial" w:cs="Arial"/>
          <w:sz w:val="20"/>
          <w:szCs w:val="20"/>
        </w:rPr>
        <w:t xml:space="preserve">Teckningsoption </w:t>
      </w:r>
      <w:r w:rsidRPr="009D5439">
        <w:rPr>
          <w:rFonts w:ascii="Arial" w:hAnsi="Arial" w:cs="Arial"/>
          <w:sz w:val="20"/>
          <w:szCs w:val="20"/>
        </w:rPr>
        <w:t>är förvaltarregistrerad enligt 5 kap. 14 § aktiebolagslagen ska förvaltaren betraktas som Innehavare vid tillämpningen av dessa villkor.</w:t>
      </w:r>
    </w:p>
    <w:p w14:paraId="30176D30" w14:textId="4CBFDA43"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2</w:t>
      </w:r>
      <w:r w:rsidRPr="009D5439">
        <w:rPr>
          <w:rFonts w:ascii="Arial" w:hAnsi="Arial" w:cs="Arial"/>
          <w:sz w:val="20"/>
          <w:szCs w:val="20"/>
        </w:rPr>
        <w:t xml:space="preserve"> Ändring av villkor</w:t>
      </w:r>
    </w:p>
    <w:p w14:paraId="0DC4912C" w14:textId="2D79818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1846B1EB" w14:textId="77252C5B"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3</w:t>
      </w:r>
      <w:r w:rsidRPr="009D5439">
        <w:rPr>
          <w:rFonts w:ascii="Arial" w:hAnsi="Arial" w:cs="Arial"/>
          <w:sz w:val="20"/>
          <w:szCs w:val="20"/>
        </w:rPr>
        <w:t xml:space="preserve"> Ansvarsbegränsning </w:t>
      </w:r>
    </w:p>
    <w:p w14:paraId="2625AE61" w14:textId="36F1488F"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I fråga om de på Bolaget ankommande åtgärderna gäller att ansvarighet inte kan göras gällande för skada, som beror av svenskt eller utländskt lagbud, svensk eller utländsk myndighetsåtgärd, krigshändelse, pandemi eller epidemi, terroristhandling, strejk, blockad, bojkott, lockout eller annan liknande omständighet. Förbehållet i fråga om strejk, blockad, bojkott och lockout gäller även om Bolaget vidtar eller är föremål för sådan konfliktåtgärd.</w:t>
      </w:r>
    </w:p>
    <w:p w14:paraId="0E9F750B" w14:textId="77777777"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Skada som uppkommer i andra fall ska inte ersättas av Bolaget, om normal aktsamhet iakttagits. Bolaget ansvarar inte i något fall för indirekt skada eller annan följdskada. Inte heller ansvarar Bolaget för skada som orsakats av att Innehavare eller annan bryter mot lag, förordning, föreskrift eller dessa villkor. Härvid uppmärksammas Innehavare på att denne ansvarar för att handlingar som Bolaget tillställts är riktiga och behörigen undertecknade samt att Bolaget underrättas om ändringar som sker beträffande lämnade uppgifter.</w:t>
      </w:r>
    </w:p>
    <w:p w14:paraId="5230320B" w14:textId="1659CFA6"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Föreligger hinder för Bolaget att helt eller delvis vidta åtgärd på grund av omständighet som anges ovan får åtgärden skjutas upp till dess hindret upphört. Om Bolaget till följd av en sådan omständighet är förhindrat att verkställa eller ta emot betalning ska Bolaget respektive Innehavaren inte vara skyldig att erlägga dröjsmålsränta.</w:t>
      </w:r>
    </w:p>
    <w:p w14:paraId="49020A71" w14:textId="68238E1A"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4</w:t>
      </w:r>
      <w:r w:rsidRPr="009D5439">
        <w:rPr>
          <w:rFonts w:ascii="Arial" w:hAnsi="Arial" w:cs="Arial"/>
          <w:sz w:val="20"/>
          <w:szCs w:val="20"/>
        </w:rPr>
        <w:t xml:space="preserve"> Sekretess</w:t>
      </w:r>
    </w:p>
    <w:p w14:paraId="6E577980"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2CDD0548" w14:textId="3B101321"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Innehavarens namn, personnummer eller annat identifikationsnummer samt postadress;</w:t>
      </w:r>
      <w:r w:rsidR="00D101A8" w:rsidRPr="009D5439">
        <w:rPr>
          <w:rFonts w:ascii="Arial" w:hAnsi="Arial" w:cs="Arial"/>
          <w:sz w:val="20"/>
          <w:szCs w:val="20"/>
        </w:rPr>
        <w:t xml:space="preserve"> och</w:t>
      </w:r>
    </w:p>
    <w:p w14:paraId="362076A5" w14:textId="08358C9D"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 xml:space="preserve">antal </w:t>
      </w:r>
      <w:r w:rsidR="00D74262" w:rsidRPr="009D5439">
        <w:rPr>
          <w:rFonts w:ascii="Arial" w:hAnsi="Arial" w:cs="Arial"/>
          <w:sz w:val="20"/>
          <w:szCs w:val="20"/>
        </w:rPr>
        <w:t>Teckningsoptioner</w:t>
      </w:r>
      <w:r w:rsidRPr="009D5439">
        <w:rPr>
          <w:rFonts w:ascii="Arial" w:hAnsi="Arial" w:cs="Arial"/>
          <w:sz w:val="20"/>
          <w:szCs w:val="20"/>
        </w:rPr>
        <w:t>.</w:t>
      </w:r>
    </w:p>
    <w:p w14:paraId="16746977" w14:textId="370F5CC7" w:rsidR="003D4201" w:rsidRPr="009D5439" w:rsidRDefault="00BB4858" w:rsidP="00E12905">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5</w:t>
      </w:r>
      <w:r w:rsidRPr="009D5439">
        <w:rPr>
          <w:rFonts w:ascii="Arial" w:hAnsi="Arial" w:cs="Arial"/>
          <w:sz w:val="20"/>
          <w:szCs w:val="20"/>
        </w:rPr>
        <w:t xml:space="preserve"> Tillämplig lag</w:t>
      </w:r>
      <w:r w:rsidR="00D101A8" w:rsidRPr="009D5439">
        <w:rPr>
          <w:rFonts w:ascii="Arial" w:hAnsi="Arial" w:cs="Arial"/>
          <w:sz w:val="20"/>
          <w:szCs w:val="20"/>
        </w:rPr>
        <w:t xml:space="preserve"> och tvistelösning </w:t>
      </w:r>
    </w:p>
    <w:p w14:paraId="6AF2A10A" w14:textId="324EFE0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Svensk lag gäller för dessa </w:t>
      </w:r>
      <w:r w:rsidR="00D74262" w:rsidRPr="009D5439">
        <w:rPr>
          <w:rFonts w:ascii="Arial" w:hAnsi="Arial" w:cs="Arial"/>
          <w:sz w:val="20"/>
          <w:szCs w:val="20"/>
        </w:rPr>
        <w:t xml:space="preserve">Teckningsoptioner </w:t>
      </w:r>
      <w:r w:rsidRPr="009D5439">
        <w:rPr>
          <w:rFonts w:ascii="Arial" w:hAnsi="Arial" w:cs="Arial"/>
          <w:sz w:val="20"/>
          <w:szCs w:val="20"/>
        </w:rPr>
        <w:t>och därmed sammanhängande rättsfrågor. Talan i anledning av dessa villkor ska väckas vid den tingsrätt där Bolagets styrelse har sitt säte eller vid sådant annat forum vars behörighet skriftligen accepteras av Bolaget.</w:t>
      </w:r>
    </w:p>
    <w:p w14:paraId="09C34542" w14:textId="545BEAD8" w:rsidR="00435C87" w:rsidRPr="009D5439" w:rsidRDefault="00BB4858" w:rsidP="00435C87">
      <w:pPr>
        <w:widowControl w:val="0"/>
        <w:jc w:val="center"/>
        <w:rPr>
          <w:rFonts w:ascii="Arial" w:hAnsi="Arial" w:cs="Arial"/>
          <w:sz w:val="20"/>
          <w:szCs w:val="20"/>
        </w:rPr>
      </w:pPr>
      <w:r w:rsidRPr="009D5439">
        <w:rPr>
          <w:rFonts w:ascii="Arial" w:hAnsi="Arial" w:cs="Arial"/>
          <w:sz w:val="20"/>
          <w:szCs w:val="20"/>
        </w:rPr>
        <w:t>_______________________</w:t>
      </w:r>
    </w:p>
    <w:sectPr w:rsidR="00435C87" w:rsidRPr="009D5439" w:rsidSect="009D54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84F2" w14:textId="77777777" w:rsidR="00D101A8" w:rsidRDefault="00D101A8" w:rsidP="00D101A8">
      <w:pPr>
        <w:spacing w:before="0"/>
      </w:pPr>
      <w:r>
        <w:separator/>
      </w:r>
    </w:p>
  </w:endnote>
  <w:endnote w:type="continuationSeparator" w:id="0">
    <w:p w14:paraId="16A80B44" w14:textId="77777777" w:rsidR="00D101A8" w:rsidRDefault="00D101A8" w:rsidP="00D101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55A5" w14:textId="77777777" w:rsidR="00D101A8" w:rsidRDefault="00D101A8" w:rsidP="00D101A8">
      <w:pPr>
        <w:spacing w:before="0"/>
      </w:pPr>
      <w:r>
        <w:separator/>
      </w:r>
    </w:p>
  </w:footnote>
  <w:footnote w:type="continuationSeparator" w:id="0">
    <w:p w14:paraId="22396C77" w14:textId="77777777" w:rsidR="00D101A8" w:rsidRDefault="00D101A8" w:rsidP="00D101A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0A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B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02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0D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4C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0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6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60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85A8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BB74F07C"/>
    <w:lvl w:ilvl="0">
      <w:start w:val="1"/>
      <w:numFmt w:val="bullet"/>
      <w:pStyle w:val="Bulletpoin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B08A35E"/>
    <w:lvl w:ilvl="0">
      <w:start w:val="1"/>
      <w:numFmt w:val="lowerLetter"/>
      <w:pStyle w:val="Bulletpoin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F792513A"/>
    <w:lvl w:ilvl="0">
      <w:start w:val="1"/>
      <w:numFmt w:val="upperLetter"/>
      <w:pStyle w:val="Bulletpointuppera"/>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upperLetter"/>
      <w:lvlText w:val="%3)"/>
      <w:lvlJc w:val="left"/>
      <w:pPr>
        <w:tabs>
          <w:tab w:val="num" w:pos="1021"/>
        </w:tabs>
        <w:ind w:left="1021" w:hanging="341"/>
      </w:pPr>
      <w:rPr>
        <w:rFonts w:hint="default"/>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EB4F93C"/>
    <w:lvl w:ilvl="0">
      <w:start w:val="1"/>
      <w:numFmt w:val="decimal"/>
      <w:pStyle w:val="Liststycke"/>
      <w:lvlText w:val="%1."/>
      <w:lvlJc w:val="left"/>
      <w:pPr>
        <w:tabs>
          <w:tab w:val="num" w:pos="340"/>
        </w:tabs>
        <w:ind w:left="340"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C7EC1F06"/>
    <w:lvl w:ilvl="0">
      <w:start w:val="1"/>
      <w:numFmt w:val="lowerRoman"/>
      <w:pStyle w:val="Bulletpointi"/>
      <w:lvlText w:val="%1)"/>
      <w:lvlJc w:val="left"/>
      <w:pPr>
        <w:tabs>
          <w:tab w:val="num" w:pos="340"/>
        </w:tabs>
        <w:ind w:left="340" w:hanging="340"/>
      </w:pPr>
      <w:rPr>
        <w:rFonts w:hint="default"/>
      </w:rPr>
    </w:lvl>
    <w:lvl w:ilvl="1">
      <w:start w:val="1"/>
      <w:numFmt w:val="lowerRoman"/>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Roman"/>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B1B863D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39944720"/>
    <w:lvl w:ilvl="0">
      <w:start w:val="1"/>
      <w:numFmt w:val="decimal"/>
      <w:pStyle w:val="MinutesHeading3"/>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1049330">
    <w:abstractNumId w:val="22"/>
  </w:num>
  <w:num w:numId="2" w16cid:durableId="467864180">
    <w:abstractNumId w:val="23"/>
  </w:num>
  <w:num w:numId="3" w16cid:durableId="2003848903">
    <w:abstractNumId w:val="21"/>
  </w:num>
  <w:num w:numId="4" w16cid:durableId="309135067">
    <w:abstractNumId w:val="20"/>
  </w:num>
  <w:num w:numId="5" w16cid:durableId="809640218">
    <w:abstractNumId w:val="13"/>
  </w:num>
  <w:num w:numId="6" w16cid:durableId="1723292232">
    <w:abstractNumId w:val="17"/>
  </w:num>
  <w:num w:numId="7" w16cid:durableId="1498765874">
    <w:abstractNumId w:val="12"/>
  </w:num>
  <w:num w:numId="8" w16cid:durableId="100999950">
    <w:abstractNumId w:val="18"/>
  </w:num>
  <w:num w:numId="9" w16cid:durableId="592006714">
    <w:abstractNumId w:val="10"/>
  </w:num>
  <w:num w:numId="10" w16cid:durableId="31544264">
    <w:abstractNumId w:val="14"/>
  </w:num>
  <w:num w:numId="11" w16cid:durableId="1159926717">
    <w:abstractNumId w:val="8"/>
  </w:num>
  <w:num w:numId="12" w16cid:durableId="375667651">
    <w:abstractNumId w:val="3"/>
  </w:num>
  <w:num w:numId="13" w16cid:durableId="2014600104">
    <w:abstractNumId w:val="2"/>
  </w:num>
  <w:num w:numId="14" w16cid:durableId="1672442204">
    <w:abstractNumId w:val="1"/>
  </w:num>
  <w:num w:numId="15" w16cid:durableId="819810402">
    <w:abstractNumId w:val="0"/>
  </w:num>
  <w:num w:numId="16" w16cid:durableId="1744988840">
    <w:abstractNumId w:val="9"/>
  </w:num>
  <w:num w:numId="17" w16cid:durableId="318966033">
    <w:abstractNumId w:val="7"/>
  </w:num>
  <w:num w:numId="18" w16cid:durableId="1974020081">
    <w:abstractNumId w:val="6"/>
  </w:num>
  <w:num w:numId="19" w16cid:durableId="1844737956">
    <w:abstractNumId w:val="5"/>
  </w:num>
  <w:num w:numId="20" w16cid:durableId="259602470">
    <w:abstractNumId w:val="4"/>
  </w:num>
  <w:num w:numId="21" w16cid:durableId="229267422">
    <w:abstractNumId w:val="19"/>
  </w:num>
  <w:num w:numId="22" w16cid:durableId="1145272603">
    <w:abstractNumId w:val="16"/>
  </w:num>
  <w:num w:numId="23" w16cid:durableId="869339610">
    <w:abstractNumId w:val="11"/>
  </w:num>
  <w:num w:numId="24" w16cid:durableId="21020235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44863"/>
    <w:rsid w:val="00044CD4"/>
    <w:rsid w:val="00061E95"/>
    <w:rsid w:val="000736C5"/>
    <w:rsid w:val="00082B33"/>
    <w:rsid w:val="000B32D8"/>
    <w:rsid w:val="000F5252"/>
    <w:rsid w:val="00104133"/>
    <w:rsid w:val="001167CC"/>
    <w:rsid w:val="00143821"/>
    <w:rsid w:val="001547BD"/>
    <w:rsid w:val="00180035"/>
    <w:rsid w:val="00181E33"/>
    <w:rsid w:val="0018606F"/>
    <w:rsid w:val="001872FC"/>
    <w:rsid w:val="00191CDC"/>
    <w:rsid w:val="001D17BE"/>
    <w:rsid w:val="001D55A9"/>
    <w:rsid w:val="001F5D1D"/>
    <w:rsid w:val="00201F26"/>
    <w:rsid w:val="00214A56"/>
    <w:rsid w:val="002234A8"/>
    <w:rsid w:val="002D6813"/>
    <w:rsid w:val="002F3BED"/>
    <w:rsid w:val="00337706"/>
    <w:rsid w:val="00343AB1"/>
    <w:rsid w:val="00386ADE"/>
    <w:rsid w:val="00392C0D"/>
    <w:rsid w:val="003A7686"/>
    <w:rsid w:val="003D2C98"/>
    <w:rsid w:val="003D4201"/>
    <w:rsid w:val="004273E6"/>
    <w:rsid w:val="00435C87"/>
    <w:rsid w:val="00441920"/>
    <w:rsid w:val="00452DF0"/>
    <w:rsid w:val="004B40E2"/>
    <w:rsid w:val="004C5061"/>
    <w:rsid w:val="004F6331"/>
    <w:rsid w:val="005306D6"/>
    <w:rsid w:val="005438AC"/>
    <w:rsid w:val="00571640"/>
    <w:rsid w:val="005758C3"/>
    <w:rsid w:val="005A2735"/>
    <w:rsid w:val="005B73A0"/>
    <w:rsid w:val="00647096"/>
    <w:rsid w:val="006554CA"/>
    <w:rsid w:val="006604CD"/>
    <w:rsid w:val="0067232D"/>
    <w:rsid w:val="00684161"/>
    <w:rsid w:val="00684B31"/>
    <w:rsid w:val="00685985"/>
    <w:rsid w:val="006A3CA3"/>
    <w:rsid w:val="006B1552"/>
    <w:rsid w:val="006B187A"/>
    <w:rsid w:val="006D1B53"/>
    <w:rsid w:val="006D63F5"/>
    <w:rsid w:val="00733681"/>
    <w:rsid w:val="00794CAB"/>
    <w:rsid w:val="007C1F51"/>
    <w:rsid w:val="00834826"/>
    <w:rsid w:val="008638FB"/>
    <w:rsid w:val="0087106B"/>
    <w:rsid w:val="00893B95"/>
    <w:rsid w:val="008A71F4"/>
    <w:rsid w:val="008B54A7"/>
    <w:rsid w:val="008C12DF"/>
    <w:rsid w:val="00904086"/>
    <w:rsid w:val="00916A5B"/>
    <w:rsid w:val="00925707"/>
    <w:rsid w:val="009441E8"/>
    <w:rsid w:val="009C5D2B"/>
    <w:rsid w:val="009D5439"/>
    <w:rsid w:val="009D6B79"/>
    <w:rsid w:val="009E6F38"/>
    <w:rsid w:val="00A10BF0"/>
    <w:rsid w:val="00A27BF5"/>
    <w:rsid w:val="00A30E08"/>
    <w:rsid w:val="00A70CB3"/>
    <w:rsid w:val="00AA0EDE"/>
    <w:rsid w:val="00AB380E"/>
    <w:rsid w:val="00AE2FEC"/>
    <w:rsid w:val="00AE6BE5"/>
    <w:rsid w:val="00AE744F"/>
    <w:rsid w:val="00AF651F"/>
    <w:rsid w:val="00B22616"/>
    <w:rsid w:val="00B504B8"/>
    <w:rsid w:val="00B9052C"/>
    <w:rsid w:val="00B92ADF"/>
    <w:rsid w:val="00B9574F"/>
    <w:rsid w:val="00BA3BA8"/>
    <w:rsid w:val="00BB4858"/>
    <w:rsid w:val="00BC414D"/>
    <w:rsid w:val="00BF3B4F"/>
    <w:rsid w:val="00C5218A"/>
    <w:rsid w:val="00C837FC"/>
    <w:rsid w:val="00C92A61"/>
    <w:rsid w:val="00CA14BC"/>
    <w:rsid w:val="00CA15F2"/>
    <w:rsid w:val="00CA1E76"/>
    <w:rsid w:val="00CA1FD3"/>
    <w:rsid w:val="00CC14E6"/>
    <w:rsid w:val="00CD0881"/>
    <w:rsid w:val="00CE1CDC"/>
    <w:rsid w:val="00D03A26"/>
    <w:rsid w:val="00D101A8"/>
    <w:rsid w:val="00D37383"/>
    <w:rsid w:val="00D40237"/>
    <w:rsid w:val="00D4227A"/>
    <w:rsid w:val="00D44F7F"/>
    <w:rsid w:val="00D50406"/>
    <w:rsid w:val="00D52E91"/>
    <w:rsid w:val="00D6258F"/>
    <w:rsid w:val="00D671C2"/>
    <w:rsid w:val="00D74262"/>
    <w:rsid w:val="00DB0C6B"/>
    <w:rsid w:val="00DE215C"/>
    <w:rsid w:val="00DE572C"/>
    <w:rsid w:val="00DF009F"/>
    <w:rsid w:val="00E114C5"/>
    <w:rsid w:val="00E12905"/>
    <w:rsid w:val="00E257B0"/>
    <w:rsid w:val="00E503E2"/>
    <w:rsid w:val="00E531D4"/>
    <w:rsid w:val="00E57FD4"/>
    <w:rsid w:val="00E7192A"/>
    <w:rsid w:val="00E926D6"/>
    <w:rsid w:val="00EB228B"/>
    <w:rsid w:val="00EC7179"/>
    <w:rsid w:val="00ED6DBC"/>
    <w:rsid w:val="00EF2EB7"/>
    <w:rsid w:val="00F12AD0"/>
    <w:rsid w:val="00F14D40"/>
    <w:rsid w:val="00F25AD8"/>
    <w:rsid w:val="00FA657D"/>
    <w:rsid w:val="00FB460F"/>
    <w:rsid w:val="00FB7419"/>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2148"/>
  <w15:docId w15:val="{D0EAC922-0AD5-47A9-8304-51E544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52C"/>
    <w:pPr>
      <w:spacing w:before="240" w:after="0" w:line="240" w:lineRule="auto"/>
    </w:pPr>
    <w:rPr>
      <w:rFonts w:ascii="Calibri" w:hAnsi="Calibri"/>
    </w:rPr>
  </w:style>
  <w:style w:type="paragraph" w:styleId="Rubrik1">
    <w:name w:val="heading 1"/>
    <w:basedOn w:val="Normal"/>
    <w:next w:val="Normal"/>
    <w:link w:val="Rubrik1Char"/>
    <w:uiPriority w:val="1"/>
    <w:qFormat/>
    <w:rsid w:val="002234A8"/>
    <w:pPr>
      <w:keepNext/>
      <w:keepLines/>
      <w:spacing w:before="480"/>
      <w:outlineLvl w:val="0"/>
    </w:pPr>
    <w:rPr>
      <w:rFonts w:eastAsiaTheme="majorEastAsia" w:cstheme="majorBidi"/>
      <w:b/>
      <w:bCs/>
      <w:caps/>
      <w:sz w:val="24"/>
      <w:szCs w:val="28"/>
    </w:rPr>
  </w:style>
  <w:style w:type="paragraph" w:styleId="Rubrik2">
    <w:name w:val="heading 2"/>
    <w:basedOn w:val="Rubrik1"/>
    <w:next w:val="Normal"/>
    <w:link w:val="Rubrik2Char"/>
    <w:uiPriority w:val="10"/>
    <w:qFormat/>
    <w:rsid w:val="002234A8"/>
    <w:pPr>
      <w:spacing w:before="200"/>
      <w:outlineLvl w:val="1"/>
    </w:pPr>
    <w:rPr>
      <w:bCs w:val="0"/>
      <w:caps w:val="0"/>
      <w:sz w:val="22"/>
      <w:szCs w:val="26"/>
    </w:rPr>
  </w:style>
  <w:style w:type="paragraph" w:styleId="Rubrik3">
    <w:name w:val="heading 3"/>
    <w:basedOn w:val="Normal"/>
    <w:next w:val="Normal"/>
    <w:link w:val="Rubrik3Char"/>
    <w:uiPriority w:val="10"/>
    <w:unhideWhenUsed/>
    <w:qFormat/>
    <w:rsid w:val="002234A8"/>
    <w:pPr>
      <w:keepNext/>
      <w:keepLines/>
      <w:spacing w:before="200"/>
      <w:outlineLvl w:val="2"/>
    </w:pPr>
    <w:rPr>
      <w:rFonts w:eastAsiaTheme="majorEastAsia"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uiPriority w:val="1"/>
    <w:qFormat/>
    <w:rsid w:val="00B9052C"/>
    <w:rPr>
      <w:i/>
      <w:sz w:val="18"/>
      <w:lang w:val="sv-SE"/>
    </w:rPr>
  </w:style>
  <w:style w:type="character" w:customStyle="1" w:styleId="Rubrik1Char">
    <w:name w:val="Rubrik 1 Char"/>
    <w:basedOn w:val="Standardstycketeckensnitt"/>
    <w:link w:val="Rubrik1"/>
    <w:uiPriority w:val="1"/>
    <w:rsid w:val="00337706"/>
    <w:rPr>
      <w:rFonts w:ascii="Calibri" w:eastAsiaTheme="majorEastAsia" w:hAnsi="Calibri" w:cstheme="majorBidi"/>
      <w:b/>
      <w:bCs/>
      <w:caps/>
      <w:sz w:val="24"/>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10"/>
    <w:rsid w:val="00337706"/>
    <w:rPr>
      <w:rFonts w:ascii="Calibri" w:eastAsiaTheme="majorEastAsia" w:hAnsi="Calibri" w:cstheme="majorBidi"/>
      <w:b/>
      <w:szCs w:val="26"/>
    </w:rPr>
  </w:style>
  <w:style w:type="paragraph" w:customStyle="1" w:styleId="Heading2English">
    <w:name w:val="Heading 2 English"/>
    <w:basedOn w:val="Rubrik2"/>
    <w:next w:val="Normal"/>
    <w:qFormat/>
    <w:rsid w:val="002234A8"/>
    <w:pPr>
      <w:spacing w:before="0"/>
    </w:pPr>
    <w:rPr>
      <w:i/>
      <w:sz w:val="20"/>
    </w:rPr>
  </w:style>
  <w:style w:type="character" w:customStyle="1" w:styleId="Rubrik3Char">
    <w:name w:val="Rubrik 3 Char"/>
    <w:basedOn w:val="Standardstycketeckensnitt"/>
    <w:link w:val="Rubrik3"/>
    <w:uiPriority w:val="10"/>
    <w:rsid w:val="00337706"/>
    <w:rPr>
      <w:rFonts w:ascii="Calibri" w:eastAsiaTheme="majorEastAsia" w:hAnsi="Calibri" w:cstheme="majorBidi"/>
      <w:bCs/>
      <w:i/>
    </w:rPr>
  </w:style>
  <w:style w:type="paragraph" w:customStyle="1" w:styleId="NormalEnglish">
    <w:name w:val="Normal English"/>
    <w:basedOn w:val="Normal"/>
    <w:qFormat/>
    <w:rsid w:val="002234A8"/>
    <w:pPr>
      <w:spacing w:before="0"/>
    </w:pPr>
    <w:rPr>
      <w:i/>
      <w:sz w:val="20"/>
    </w:rPr>
  </w:style>
  <w:style w:type="paragraph" w:customStyle="1" w:styleId="MinutesHeading1">
    <w:name w:val="Minutes Heading 1"/>
    <w:basedOn w:val="Rubrik1"/>
    <w:next w:val="Normal"/>
    <w:qFormat/>
    <w:rsid w:val="00A27BF5"/>
    <w:pPr>
      <w:ind w:left="4820"/>
    </w:pPr>
    <w:rPr>
      <w:b w:val="0"/>
      <w:caps w:val="0"/>
      <w:sz w:val="22"/>
    </w:rPr>
  </w:style>
  <w:style w:type="paragraph" w:customStyle="1" w:styleId="MinutesHeading1English">
    <w:name w:val="Minutes Heading1 English"/>
    <w:basedOn w:val="MinutesHeading1"/>
    <w:next w:val="Normal"/>
    <w:qFormat/>
    <w:rsid w:val="00A27BF5"/>
    <w:pPr>
      <w:spacing w:before="0"/>
    </w:pPr>
    <w:rPr>
      <w:i/>
      <w:sz w:val="20"/>
    </w:rPr>
  </w:style>
  <w:style w:type="paragraph" w:customStyle="1" w:styleId="MinutesHeading2">
    <w:name w:val="Minutes Heading 2"/>
    <w:basedOn w:val="Rubrik2"/>
    <w:next w:val="Normal"/>
    <w:qFormat/>
    <w:rsid w:val="00191CDC"/>
    <w:rPr>
      <w:b w:val="0"/>
      <w:u w:val="single"/>
    </w:rPr>
  </w:style>
  <w:style w:type="paragraph" w:customStyle="1" w:styleId="MinutesHeading2English">
    <w:name w:val="Minutes Heading 2 English"/>
    <w:basedOn w:val="Heading2English"/>
    <w:next w:val="Normal"/>
    <w:qFormat/>
    <w:rsid w:val="00191CDC"/>
    <w:rPr>
      <w:b w:val="0"/>
      <w:u w:val="single"/>
    </w:rPr>
  </w:style>
  <w:style w:type="paragraph" w:customStyle="1" w:styleId="MinutesHeading3">
    <w:name w:val="Minutes Heading 3"/>
    <w:basedOn w:val="Rubrik3"/>
    <w:next w:val="Normal"/>
    <w:qFormat/>
    <w:rsid w:val="005438AC"/>
    <w:pPr>
      <w:numPr>
        <w:numId w:val="2"/>
      </w:numPr>
      <w:spacing w:before="48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2234A8"/>
    <w:pPr>
      <w:spacing w:before="0"/>
    </w:pPr>
    <w:rPr>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5"/>
    <w:qFormat/>
    <w:rsid w:val="00BF3B4F"/>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191CDC"/>
    <w:pPr>
      <w:ind w:left="340"/>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tindrag">
    <w:name w:val="Normal Indent"/>
    <w:basedOn w:val="Normal"/>
    <w:uiPriority w:val="98"/>
    <w:rsid w:val="0087106B"/>
    <w:pPr>
      <w:ind w:left="340"/>
    </w:pPr>
  </w:style>
  <w:style w:type="paragraph" w:styleId="Ingetavstnd">
    <w:name w:val="No Spacing"/>
    <w:uiPriority w:val="2"/>
    <w:qFormat/>
    <w:rsid w:val="00E257B0"/>
    <w:pPr>
      <w:spacing w:after="0" w:line="240" w:lineRule="auto"/>
    </w:pPr>
    <w:rPr>
      <w:rFonts w:ascii="Calibri" w:hAnsi="Calibri"/>
    </w:rPr>
  </w:style>
  <w:style w:type="paragraph" w:customStyle="1" w:styleId="Rubrik1Center">
    <w:name w:val="Rubrik 1 Center"/>
    <w:basedOn w:val="Rubrik1"/>
    <w:uiPriority w:val="1"/>
    <w:qFormat/>
    <w:rsid w:val="005B73A0"/>
    <w:pPr>
      <w:jc w:val="center"/>
    </w:pPr>
  </w:style>
  <w:style w:type="paragraph" w:customStyle="1" w:styleId="Heading1EnglishCenter">
    <w:name w:val="Heading 1 English Center"/>
    <w:basedOn w:val="Heading1English"/>
    <w:uiPriority w:val="1"/>
    <w:qFormat/>
    <w:rsid w:val="005B73A0"/>
    <w:pPr>
      <w:jc w:val="center"/>
    </w:pPr>
  </w:style>
  <w:style w:type="paragraph" w:customStyle="1" w:styleId="Rubrik2Center">
    <w:name w:val="Rubrik 2 Center"/>
    <w:basedOn w:val="Rubrik2"/>
    <w:uiPriority w:val="1"/>
    <w:qFormat/>
    <w:rsid w:val="005B73A0"/>
    <w:pPr>
      <w:jc w:val="center"/>
    </w:pPr>
  </w:style>
  <w:style w:type="paragraph" w:customStyle="1" w:styleId="Heading2EnglishCenter">
    <w:name w:val="Heading 2 English Center"/>
    <w:basedOn w:val="Heading2English"/>
    <w:uiPriority w:val="1"/>
    <w:qFormat/>
    <w:rsid w:val="005B73A0"/>
    <w:pPr>
      <w:jc w:val="center"/>
    </w:pPr>
  </w:style>
  <w:style w:type="paragraph" w:customStyle="1" w:styleId="Rubrik3Center">
    <w:name w:val="Rubrik 3 Center"/>
    <w:basedOn w:val="Rubrik3"/>
    <w:uiPriority w:val="1"/>
    <w:qFormat/>
    <w:rsid w:val="005B73A0"/>
    <w:pPr>
      <w:jc w:val="center"/>
    </w:pPr>
  </w:style>
  <w:style w:type="paragraph" w:customStyle="1" w:styleId="Heading3EnglishCenter">
    <w:name w:val="Heading 3 English Center"/>
    <w:basedOn w:val="Heading3English"/>
    <w:uiPriority w:val="1"/>
    <w:qFormat/>
    <w:rsid w:val="005B73A0"/>
    <w:pPr>
      <w:jc w:val="center"/>
    </w:pPr>
  </w:style>
  <w:style w:type="paragraph" w:customStyle="1" w:styleId="NormalCenter">
    <w:name w:val="Normal Center"/>
    <w:basedOn w:val="Normal"/>
    <w:uiPriority w:val="1"/>
    <w:qFormat/>
    <w:rsid w:val="005B73A0"/>
    <w:pPr>
      <w:jc w:val="center"/>
    </w:pPr>
  </w:style>
  <w:style w:type="paragraph" w:customStyle="1" w:styleId="NormalEnglishCenter">
    <w:name w:val="Normal English Center"/>
    <w:basedOn w:val="NormalEnglish"/>
    <w:uiPriority w:val="1"/>
    <w:qFormat/>
    <w:rsid w:val="00AB380E"/>
    <w:pPr>
      <w:jc w:val="center"/>
    </w:pPr>
  </w:style>
  <w:style w:type="paragraph" w:styleId="Ballongtext">
    <w:name w:val="Balloon Text"/>
    <w:basedOn w:val="Normal"/>
    <w:link w:val="BallongtextChar"/>
    <w:uiPriority w:val="99"/>
    <w:semiHidden/>
    <w:unhideWhenUsed/>
    <w:rsid w:val="005306D6"/>
    <w:pPr>
      <w:spacing w:before="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306D6"/>
    <w:rPr>
      <w:rFonts w:ascii="Times New Roman" w:hAnsi="Times New Roman" w:cs="Times New Roman"/>
      <w:sz w:val="18"/>
      <w:szCs w:val="18"/>
    </w:rPr>
  </w:style>
  <w:style w:type="paragraph" w:styleId="Sidhuvud">
    <w:name w:val="header"/>
    <w:basedOn w:val="Normal"/>
    <w:link w:val="SidhuvudChar"/>
    <w:uiPriority w:val="99"/>
    <w:unhideWhenUsed/>
    <w:rsid w:val="00D101A8"/>
    <w:pPr>
      <w:tabs>
        <w:tab w:val="center" w:pos="4536"/>
        <w:tab w:val="right" w:pos="9072"/>
      </w:tabs>
      <w:spacing w:before="0"/>
    </w:pPr>
  </w:style>
  <w:style w:type="character" w:customStyle="1" w:styleId="SidhuvudChar">
    <w:name w:val="Sidhuvud Char"/>
    <w:basedOn w:val="Standardstycketeckensnitt"/>
    <w:link w:val="Sidhuvud"/>
    <w:uiPriority w:val="99"/>
    <w:rsid w:val="00D101A8"/>
    <w:rPr>
      <w:rFonts w:ascii="Calibri" w:hAnsi="Calibri"/>
    </w:rPr>
  </w:style>
  <w:style w:type="paragraph" w:styleId="Sidfot">
    <w:name w:val="footer"/>
    <w:basedOn w:val="Normal"/>
    <w:link w:val="SidfotChar"/>
    <w:uiPriority w:val="99"/>
    <w:unhideWhenUsed/>
    <w:rsid w:val="00D101A8"/>
    <w:pPr>
      <w:tabs>
        <w:tab w:val="center" w:pos="4536"/>
        <w:tab w:val="right" w:pos="9072"/>
      </w:tabs>
      <w:spacing w:before="0"/>
    </w:pPr>
  </w:style>
  <w:style w:type="character" w:customStyle="1" w:styleId="SidfotChar">
    <w:name w:val="Sidfot Char"/>
    <w:basedOn w:val="Standardstycketeckensnitt"/>
    <w:link w:val="Sidfot"/>
    <w:uiPriority w:val="99"/>
    <w:rsid w:val="00D101A8"/>
    <w:rPr>
      <w:rFonts w:ascii="Calibri" w:hAnsi="Calibri"/>
    </w:rPr>
  </w:style>
  <w:style w:type="character" w:styleId="Kommentarsreferens">
    <w:name w:val="annotation reference"/>
    <w:basedOn w:val="Standardstycketeckensnitt"/>
    <w:uiPriority w:val="99"/>
    <w:semiHidden/>
    <w:unhideWhenUsed/>
    <w:rsid w:val="00D101A8"/>
    <w:rPr>
      <w:sz w:val="16"/>
      <w:szCs w:val="16"/>
    </w:rPr>
  </w:style>
  <w:style w:type="paragraph" w:styleId="Kommentarer">
    <w:name w:val="annotation text"/>
    <w:basedOn w:val="Normal"/>
    <w:link w:val="KommentarerChar"/>
    <w:uiPriority w:val="99"/>
    <w:semiHidden/>
    <w:unhideWhenUsed/>
    <w:rsid w:val="00D101A8"/>
    <w:rPr>
      <w:sz w:val="20"/>
      <w:szCs w:val="20"/>
    </w:rPr>
  </w:style>
  <w:style w:type="character" w:customStyle="1" w:styleId="KommentarerChar">
    <w:name w:val="Kommentarer Char"/>
    <w:basedOn w:val="Standardstycketeckensnitt"/>
    <w:link w:val="Kommentarer"/>
    <w:uiPriority w:val="99"/>
    <w:semiHidden/>
    <w:rsid w:val="00D101A8"/>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D101A8"/>
    <w:rPr>
      <w:b/>
      <w:bCs/>
    </w:rPr>
  </w:style>
  <w:style w:type="character" w:customStyle="1" w:styleId="KommentarsmneChar">
    <w:name w:val="Kommentarsämne Char"/>
    <w:basedOn w:val="KommentarerChar"/>
    <w:link w:val="Kommentarsmne"/>
    <w:uiPriority w:val="99"/>
    <w:semiHidden/>
    <w:rsid w:val="00D101A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581">
      <w:bodyDiv w:val="1"/>
      <w:marLeft w:val="0"/>
      <w:marRight w:val="0"/>
      <w:marTop w:val="0"/>
      <w:marBottom w:val="0"/>
      <w:divBdr>
        <w:top w:val="none" w:sz="0" w:space="0" w:color="auto"/>
        <w:left w:val="none" w:sz="0" w:space="0" w:color="auto"/>
        <w:bottom w:val="none" w:sz="0" w:space="0" w:color="auto"/>
        <w:right w:val="none" w:sz="0" w:space="0" w:color="auto"/>
      </w:divBdr>
    </w:div>
    <w:div w:id="16658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3" ma:contentTypeDescription="Skapa ett nytt dokument." ma:contentTypeScope="" ma:versionID="378bcb07c84ffe3ad398e5455d477a17">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493ed913f7814a255e6aac6c506dac62"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40CD7-3859-4D3A-AF86-47F22F4220F0}">
  <ds:schemaRefs>
    <ds:schemaRef ds:uri="http://schemas.openxmlformats.org/officeDocument/2006/bibliography"/>
  </ds:schemaRefs>
</ds:datastoreItem>
</file>

<file path=customXml/itemProps2.xml><?xml version="1.0" encoding="utf-8"?>
<ds:datastoreItem xmlns:ds="http://schemas.openxmlformats.org/officeDocument/2006/customXml" ds:itemID="{264E6266-9EB8-4C43-B360-A082F5B9FA06}">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customXml/itemProps3.xml><?xml version="1.0" encoding="utf-8"?>
<ds:datastoreItem xmlns:ds="http://schemas.openxmlformats.org/officeDocument/2006/customXml" ds:itemID="{D0C137AE-18A2-49DC-B2CC-6A42202E87FE}">
  <ds:schemaRefs>
    <ds:schemaRef ds:uri="http://schemas.microsoft.com/sharepoint/v3/contenttype/forms"/>
  </ds:schemaRefs>
</ds:datastoreItem>
</file>

<file path=customXml/itemProps4.xml><?xml version="1.0" encoding="utf-8"?>
<ds:datastoreItem xmlns:ds="http://schemas.openxmlformats.org/officeDocument/2006/customXml" ds:itemID="{75B7A17E-921A-4D76-9A94-403EB0F4C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5563</Words>
  <Characters>29489</Characters>
  <Application>Microsoft Office Word</Application>
  <DocSecurity>0</DocSecurity>
  <Lines>245</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 Legal</dc:creator>
  <dc:description>Skapat med VQ Legal</dc:description>
  <cp:lastModifiedBy>Fred Bergström</cp:lastModifiedBy>
  <cp:revision>11</cp:revision>
  <cp:lastPrinted>2020-11-23T09:15:00Z</cp:lastPrinted>
  <dcterms:created xsi:type="dcterms:W3CDTF">2021-10-07T13:24:00Z</dcterms:created>
  <dcterms:modified xsi:type="dcterms:W3CDTF">2022-09-15T13:29:00Z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